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rPr>
          <w:rFonts w:ascii="黑体" w:hAnsi="黑体" w:eastAsia="黑体"/>
        </w:rPr>
      </w:pPr>
      <w:r>
        <w:rPr>
          <w:rFonts w:hint="eastAsia" w:ascii="黑体" w:hAnsi="黑体" w:eastAsia="黑体"/>
        </w:rPr>
        <w:t>上海创智天地广场热舒适分析与评价</w:t>
      </w:r>
    </w:p>
    <w:p>
      <w:pPr>
        <w:pStyle w:val="58"/>
        <w:rPr>
          <w:rFonts w:ascii="黑体" w:hAnsi="黑体" w:eastAsia="黑体" w:cs="方正兰亭中黑_GBK"/>
          <w:spacing w:val="-10"/>
          <w:sz w:val="32"/>
          <w:szCs w:val="32"/>
        </w:rPr>
      </w:pPr>
      <w:r>
        <w:rPr>
          <w:rFonts w:hint="eastAsia" w:ascii="黑体" w:hAnsi="黑体" w:eastAsia="黑体"/>
          <w:b/>
          <w:color w:val="C00000"/>
          <w:sz w:val="28"/>
          <w:szCs w:val="28"/>
        </w:rPr>
        <w:t>(黑体-16点  行距20点)</w:t>
      </w:r>
    </w:p>
    <w:p>
      <w:pPr>
        <w:pStyle w:val="58"/>
        <w:rPr>
          <w:rFonts w:ascii="Times New Roman" w:hAnsi="Times New Roman" w:eastAsia="华文黑体 Light" w:cs="Times New Roman"/>
          <w:sz w:val="22"/>
          <w:szCs w:val="22"/>
          <w:lang w:val="zh-CN"/>
        </w:rPr>
      </w:pPr>
      <w:r>
        <w:rPr>
          <w:rFonts w:ascii="HelveticaNeueLT Pro 55 Roman" w:hAnsi="HelveticaNeueLT Pro 55 Roman" w:cs="HelveticaNeueLT Pro 55 Roman"/>
          <w:spacing w:val="0"/>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40005</wp:posOffset>
                </wp:positionV>
                <wp:extent cx="0" cy="534035"/>
                <wp:effectExtent l="4445" t="0" r="14605" b="18415"/>
                <wp:wrapNone/>
                <wp:docPr id="4" name="直接连接符 4"/>
                <wp:cNvGraphicFramePr/>
                <a:graphic xmlns:a="http://schemas.openxmlformats.org/drawingml/2006/main">
                  <a:graphicData uri="http://schemas.microsoft.com/office/word/2010/wordprocessingShape">
                    <wps:wsp>
                      <wps:cNvCnPr/>
                      <wps:spPr>
                        <a:xfrm>
                          <a:off x="0" y="0"/>
                          <a:ext cx="0" cy="534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pt;margin-top:3.15pt;height:42.05pt;width:0pt;z-index:251661312;mso-width-relative:page;mso-height-relative:page;" filled="f" stroked="t" coordsize="21600,21600" o:gfxdata="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3LF3jVAAAACAEAAA8AAAAAAAAAAQAgAAAAIgAAAGRycy9kb3ducmV2&#10;LnhtbFBLAQIUABQAAAAIAIdO4kAKVG01xgEAAGIDAAAOAAAAAAAAAAEAIAAAACQBAABkcnMvZTJv&#10;RG9jLnhtbFBLBQYAAAAABgAGAFkBAABcBQAAAAA=&#10;">
                <v:fill on="f" focussize="0,0"/>
                <v:stroke weight="0.5pt" color="#000000 [3200]" miterlimit="8" joinstyle="miter"/>
                <v:imagedata o:title=""/>
                <o:lock v:ext="edit" aspectratio="f"/>
              </v:line>
            </w:pict>
          </mc:Fallback>
        </mc:AlternateContent>
      </w:r>
      <w:r>
        <w:rPr>
          <w:rFonts w:ascii="Times New Roman" w:hAnsi="Times New Roman" w:eastAsia="华文黑体 Light" w:cs="Times New Roman"/>
          <w:sz w:val="22"/>
          <w:szCs w:val="22"/>
          <w:lang w:val="zh-CN"/>
        </w:rPr>
        <w:t>The Analysis and Evaluation of Thermal Comfort at Shanghai Knowledge &amp; Innovation Community Square</w:t>
      </w:r>
    </w:p>
    <w:p>
      <w:pPr>
        <w:pStyle w:val="45"/>
        <w:rPr>
          <w:rFonts w:ascii="HelveticaNeueLT Pro 55 Roman" w:hAnsi="HelveticaNeueLT Pro 55 Roman" w:cs="HelveticaNeueLT Pro 55 Roman"/>
          <w:spacing w:val="0"/>
          <w:sz w:val="22"/>
          <w:szCs w:val="22"/>
        </w:rPr>
      </w:pPr>
      <w:r>
        <w:rPr>
          <w:rFonts w:hint="eastAsia" w:ascii="HelveticaNeueLT Pro 55 Roman" w:hAnsi="HelveticaNeueLT Pro 55 Roman"/>
          <w:b/>
          <w:color w:val="C00000"/>
          <w:sz w:val="22"/>
          <w:szCs w:val="22"/>
        </w:rPr>
        <w:t>（</w:t>
      </w:r>
      <w:r>
        <w:rPr>
          <w:b/>
          <w:color w:val="C00000"/>
          <w:sz w:val="22"/>
          <w:szCs w:val="22"/>
        </w:rPr>
        <w:t>Times New Roman-11</w:t>
      </w:r>
      <w:r>
        <w:rPr>
          <w:rFonts w:hint="eastAsia" w:ascii="宋体" w:hAnsi="宋体" w:eastAsia="宋体" w:cs="方正纤雅宋_GBK"/>
          <w:b/>
          <w:color w:val="C00000"/>
          <w:spacing w:val="0"/>
        </w:rPr>
        <w:t>点</w:t>
      </w:r>
      <w:r>
        <w:rPr>
          <w:rFonts w:hint="eastAsia" w:ascii="宋体" w:hAnsi="宋体" w:eastAsia="宋体" w:cs="方正纤雅宋_GBK"/>
          <w:b/>
          <w:color w:val="C00000"/>
          <w:spacing w:val="0"/>
          <w:lang w:val="en-US"/>
        </w:rPr>
        <w:t xml:space="preserve"> 行距</w:t>
      </w:r>
      <w:r>
        <w:rPr>
          <w:rFonts w:ascii="宋体" w:hAnsi="宋体" w:eastAsia="宋体" w:cs="方正纤雅宋_GBK"/>
          <w:b/>
          <w:color w:val="C00000"/>
          <w:spacing w:val="0"/>
        </w:rPr>
        <w:t>14点</w:t>
      </w:r>
      <w:r>
        <w:rPr>
          <w:rFonts w:hint="eastAsia" w:ascii="HelveticaNeueLT Pro 55 Roman" w:hAnsi="HelveticaNeueLT Pro 55 Roman"/>
          <w:b/>
          <w:color w:val="C00000"/>
          <w:sz w:val="22"/>
          <w:szCs w:val="22"/>
        </w:rPr>
        <w:t>）</w:t>
      </w:r>
    </w:p>
    <w:p>
      <w:pPr>
        <w:widowControl w:val="0"/>
        <w:spacing w:line="360" w:lineRule="auto"/>
        <w:ind w:firstLine="360" w:firstLineChars="200"/>
        <w:jc w:val="both"/>
        <w:rPr>
          <w:sz w:val="18"/>
          <w:szCs w:val="18"/>
          <w:lang w:eastAsia="zh-CN"/>
        </w:rPr>
        <w:sectPr>
          <w:footerReference r:id="rId3" w:type="default"/>
          <w:type w:val="continuous"/>
          <w:pgSz w:w="11900" w:h="16840"/>
          <w:pgMar w:top="1985" w:right="851" w:bottom="1134" w:left="1134" w:header="709" w:footer="709" w:gutter="0"/>
          <w:cols w:space="708" w:num="2"/>
          <w:docGrid w:linePitch="360" w:charSpace="0"/>
        </w:sectPr>
      </w:pPr>
    </w:p>
    <w:p>
      <w:pPr>
        <w:widowControl w:val="0"/>
        <w:autoSpaceDE w:val="0"/>
        <w:autoSpaceDN w:val="0"/>
        <w:adjustRightInd w:val="0"/>
        <w:spacing w:line="260" w:lineRule="atLeast"/>
        <w:jc w:val="both"/>
        <w:textAlignment w:val="center"/>
        <w:rPr>
          <w:rFonts w:ascii="HelveticaNeueLT Pro 45 Lt" w:hAnsi="HelveticaNeueLT Pro 45 Lt" w:eastAsia="华文黑体 Light" w:cs="HelveticaNeueLT Pro 45 Lt"/>
          <w:color w:val="000000"/>
          <w:sz w:val="17"/>
          <w:szCs w:val="17"/>
          <w:lang w:val="zh-CN" w:eastAsia="zh-CN"/>
        </w:rPr>
      </w:pPr>
    </w:p>
    <w:p>
      <w:pPr>
        <w:widowControl w:val="0"/>
        <w:autoSpaceDE w:val="0"/>
        <w:autoSpaceDN w:val="0"/>
        <w:adjustRightInd w:val="0"/>
        <w:spacing w:line="260" w:lineRule="atLeast"/>
        <w:jc w:val="both"/>
        <w:textAlignment w:val="center"/>
        <w:rPr>
          <w:rFonts w:ascii="HelveticaNeueLT Pro 45 Lt" w:hAnsi="HelveticaNeueLT Pro 45 Lt" w:eastAsia="华文黑体 Light" w:cs="HelveticaNeueLT Pro 45 Lt"/>
          <w:color w:val="000000"/>
          <w:sz w:val="17"/>
          <w:szCs w:val="17"/>
          <w:lang w:val="zh-CN" w:eastAsia="zh-CN"/>
        </w:rPr>
      </w:pPr>
    </w:p>
    <w:p>
      <w:pPr>
        <w:widowControl w:val="0"/>
        <w:autoSpaceDE w:val="0"/>
        <w:autoSpaceDN w:val="0"/>
        <w:adjustRightInd w:val="0"/>
        <w:spacing w:line="260" w:lineRule="atLeast"/>
        <w:jc w:val="both"/>
        <w:textAlignment w:val="center"/>
        <w:rPr>
          <w:rFonts w:ascii="HelveticaNeueLT Pro 45 Lt" w:hAnsi="HelveticaNeueLT Pro 45 Lt" w:eastAsia="华文黑体 Light" w:cs="HelveticaNeueLT Pro 45 Lt"/>
          <w:color w:val="000000"/>
          <w:sz w:val="17"/>
          <w:szCs w:val="17"/>
          <w:lang w:val="zh-CN" w:eastAsia="zh-CN"/>
        </w:rPr>
      </w:pPr>
    </w:p>
    <w:p>
      <w:pPr>
        <w:widowControl w:val="0"/>
        <w:autoSpaceDE w:val="0"/>
        <w:autoSpaceDN w:val="0"/>
        <w:adjustRightInd w:val="0"/>
        <w:spacing w:line="260" w:lineRule="atLeast"/>
        <w:jc w:val="both"/>
        <w:textAlignment w:val="center"/>
        <w:rPr>
          <w:rFonts w:ascii="HelveticaNeueLT Pro 45 Lt" w:hAnsi="HelveticaNeueLT Pro 45 Lt" w:eastAsia="华文黑体 Light" w:cs="HelveticaNeueLT Pro 45 Lt"/>
          <w:color w:val="000000"/>
          <w:sz w:val="17"/>
          <w:szCs w:val="17"/>
          <w:lang w:val="zh-CN" w:eastAsia="zh-CN"/>
        </w:rPr>
      </w:pPr>
    </w:p>
    <w:p>
      <w:pPr>
        <w:widowControl w:val="0"/>
        <w:spacing w:line="320" w:lineRule="exact"/>
        <w:jc w:val="both"/>
        <w:rPr>
          <w:rStyle w:val="48"/>
          <w:lang w:eastAsia="zh-CN"/>
        </w:rPr>
      </w:pPr>
    </w:p>
    <w:p>
      <w:pPr>
        <w:widowControl w:val="0"/>
        <w:autoSpaceDE w:val="0"/>
        <w:autoSpaceDN w:val="0"/>
        <w:adjustRightInd w:val="0"/>
        <w:spacing w:line="288" w:lineRule="auto"/>
        <w:jc w:val="both"/>
        <w:textAlignment w:val="center"/>
        <w:rPr>
          <w:rFonts w:ascii="方正粗雅宋_GBK" w:eastAsia="方正粗雅宋_GBK" w:cs="方正粗雅宋_GBK"/>
          <w:color w:val="000000"/>
          <w:sz w:val="16"/>
          <w:szCs w:val="16"/>
          <w:lang w:val="zh-CN" w:eastAsia="zh-CN"/>
        </w:rPr>
        <w:sectPr>
          <w:type w:val="continuous"/>
          <w:pgSz w:w="11900" w:h="16840"/>
          <w:pgMar w:top="1985" w:right="851" w:bottom="1134" w:left="1134" w:header="709" w:footer="709" w:gutter="0"/>
          <w:cols w:space="708" w:num="1"/>
          <w:docGrid w:linePitch="360" w:charSpace="0"/>
        </w:sectPr>
      </w:pPr>
    </w:p>
    <w:p>
      <w:pPr>
        <w:pStyle w:val="38"/>
        <w:rPr>
          <w:rFonts w:ascii="方正纤雅宋简体" w:eastAsia="方正纤雅宋简体" w:cs="方正纤雅宋简体" w:hAnsiTheme="minorHAnsi"/>
          <w:spacing w:val="-3"/>
          <w:sz w:val="16"/>
          <w:szCs w:val="16"/>
        </w:rPr>
      </w:pPr>
      <w:r>
        <w:rPr>
          <w:rFonts w:hint="eastAsia" w:ascii="宋体" w:hAnsi="宋体" w:eastAsia="宋体" w:cs="方正粗雅宋_GBK"/>
          <w:b/>
          <w:sz w:val="16"/>
          <w:szCs w:val="16"/>
        </w:rPr>
        <w:t>摘</w:t>
      </w:r>
      <w:r>
        <w:rPr>
          <w:rFonts w:ascii="宋体" w:hAnsi="宋体" w:eastAsia="宋体" w:cs="方正粗雅宋_GBK"/>
          <w:b/>
          <w:sz w:val="16"/>
          <w:szCs w:val="16"/>
        </w:rPr>
        <w:t xml:space="preserve">   </w:t>
      </w:r>
      <w:r>
        <w:rPr>
          <w:rFonts w:hint="eastAsia" w:ascii="宋体" w:hAnsi="宋体" w:eastAsia="宋体" w:cs="方正粗雅宋_GBK"/>
          <w:b/>
          <w:sz w:val="16"/>
          <w:szCs w:val="16"/>
        </w:rPr>
        <w:t>要</w:t>
      </w:r>
      <w:r>
        <w:rPr>
          <w:rFonts w:hint="eastAsia" w:ascii="方正粗雅宋_GBK" w:hAnsi="宋体" w:eastAsia="方正粗雅宋_GBK"/>
          <w:b/>
          <w:color w:val="C00000"/>
          <w:sz w:val="16"/>
          <w:szCs w:val="16"/>
        </w:rPr>
        <w:t>（宋-8点 行距14点）</w:t>
      </w:r>
      <w:r>
        <w:rPr>
          <w:rFonts w:hint="eastAsia" w:ascii="方正粗雅宋_GBK" w:eastAsia="方正粗雅宋_GBK" w:cs="方正粗雅宋_GBK"/>
          <w:sz w:val="16"/>
          <w:szCs w:val="16"/>
        </w:rPr>
        <w:t>：</w:t>
      </w:r>
      <w:r>
        <w:rPr>
          <w:rFonts w:hint="eastAsia" w:ascii="宋体" w:hAnsi="宋体" w:eastAsia="宋体" w:cs="方正纤雅宋简体"/>
          <w:spacing w:val="-3"/>
          <w:sz w:val="16"/>
          <w:szCs w:val="16"/>
        </w:rPr>
        <w:t>主要通过上海创智天地广场夏秋冬三季小气候实测与问卷调查，探讨广场空间形态、热环境和使用者心理感知之间的关系，</w:t>
      </w:r>
      <w:r>
        <w:rPr>
          <w:rFonts w:ascii="宋体" w:hAnsi="宋体" w:eastAsia="宋体" w:cs="方正纤雅宋简体"/>
          <w:spacing w:val="-3"/>
          <w:sz w:val="16"/>
          <w:szCs w:val="16"/>
        </w:rPr>
        <w:t>10</w:t>
      </w:r>
      <w:r>
        <w:rPr>
          <w:rFonts w:hint="eastAsia" w:ascii="宋体" w:hAnsi="宋体" w:eastAsia="宋体" w:cs="方正纤雅宋简体"/>
          <w:spacing w:val="-3"/>
          <w:sz w:val="16"/>
          <w:szCs w:val="16"/>
        </w:rPr>
        <w:t>个测试日共获得问卷</w:t>
      </w:r>
      <w:r>
        <w:rPr>
          <w:rFonts w:ascii="宋体" w:hAnsi="宋体" w:eastAsia="宋体" w:cs="方正纤雅宋简体"/>
          <w:spacing w:val="-3"/>
          <w:sz w:val="16"/>
          <w:szCs w:val="16"/>
        </w:rPr>
        <w:t>870</w:t>
      </w:r>
      <w:r>
        <w:rPr>
          <w:rFonts w:hint="eastAsia" w:ascii="宋体" w:hAnsi="宋体" w:eastAsia="宋体" w:cs="方正纤雅宋简体"/>
          <w:spacing w:val="-3"/>
          <w:sz w:val="16"/>
          <w:szCs w:val="16"/>
        </w:rPr>
        <w:t>份。结果表明：</w:t>
      </w:r>
      <w:r>
        <w:rPr>
          <w:rFonts w:ascii="宋体" w:hAnsi="宋体" w:eastAsia="宋体" w:cs="方正纤雅宋简体"/>
          <w:spacing w:val="-3"/>
          <w:sz w:val="16"/>
          <w:szCs w:val="16"/>
        </w:rPr>
        <w:t>1)SVF</w:t>
      </w:r>
      <w:r>
        <w:rPr>
          <w:rFonts w:hint="eastAsia" w:ascii="宋体" w:hAnsi="宋体" w:eastAsia="宋体" w:cs="方正纤雅宋简体"/>
          <w:spacing w:val="-3"/>
          <w:sz w:val="16"/>
          <w:szCs w:val="16"/>
        </w:rPr>
        <w:t>与广场热环境关系紧密，夏季需要更小的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，冬季需要更大的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w:t>
      </w:r>
      <w:r>
        <w:rPr>
          <w:rFonts w:ascii="宋体" w:hAnsi="宋体" w:eastAsia="宋体" w:cs="方正纤雅宋简体"/>
          <w:spacing w:val="-3"/>
          <w:sz w:val="16"/>
          <w:szCs w:val="16"/>
        </w:rPr>
        <w:t>2)</w:t>
      </w:r>
      <w:r>
        <w:rPr>
          <w:rFonts w:hint="eastAsia" w:ascii="宋体" w:hAnsi="宋体" w:eastAsia="宋体" w:cs="方正纤雅宋简体"/>
          <w:spacing w:val="-3"/>
          <w:sz w:val="16"/>
          <w:szCs w:val="16"/>
        </w:rPr>
        <w:t>热中性与热舒适范围随季节发生变化，热感觉、热舒适与空气温度、</w:t>
      </w:r>
      <w:r>
        <w:rPr>
          <w:rFonts w:ascii="宋体" w:hAnsi="宋体" w:eastAsia="宋体" w:cs="方正纤雅宋简体"/>
          <w:spacing w:val="-3"/>
          <w:sz w:val="16"/>
          <w:szCs w:val="16"/>
        </w:rPr>
        <w:t>PET</w:t>
      </w:r>
      <w:r>
        <w:rPr>
          <w:rFonts w:hint="eastAsia" w:ascii="宋体" w:hAnsi="宋体" w:eastAsia="宋体" w:cs="方正纤雅宋简体"/>
          <w:spacing w:val="-3"/>
          <w:sz w:val="16"/>
          <w:szCs w:val="16"/>
        </w:rPr>
        <w:t>显著相关，就相关系数而言，热感觉更高；</w:t>
      </w:r>
      <w:r>
        <w:rPr>
          <w:rFonts w:ascii="宋体" w:hAnsi="宋体" w:eastAsia="宋体" w:cs="方正纤雅宋简体"/>
          <w:spacing w:val="-3"/>
          <w:sz w:val="16"/>
          <w:szCs w:val="16"/>
        </w:rPr>
        <w:t>3)</w:t>
      </w:r>
      <w:r>
        <w:rPr>
          <w:rFonts w:hint="eastAsia" w:ascii="宋体" w:hAnsi="宋体" w:eastAsia="宋体" w:cs="方正纤雅宋简体"/>
          <w:spacing w:val="-3"/>
          <w:sz w:val="16"/>
          <w:szCs w:val="16"/>
        </w:rPr>
        <w:t>人们的热感觉和热认知较为一致的是广场夏季热环境更为严峻；</w:t>
      </w:r>
      <w:r>
        <w:rPr>
          <w:rFonts w:ascii="宋体" w:hAnsi="宋体" w:eastAsia="宋体" w:cs="方正纤雅宋简体"/>
          <w:spacing w:val="-3"/>
          <w:sz w:val="16"/>
          <w:szCs w:val="16"/>
        </w:rPr>
        <w:t>4)</w:t>
      </w:r>
      <w:r>
        <w:rPr>
          <w:rFonts w:hint="eastAsia" w:ascii="宋体" w:hAnsi="宋体" w:eastAsia="宋体" w:cs="方正纤雅宋简体"/>
          <w:spacing w:val="-3"/>
          <w:sz w:val="16"/>
          <w:szCs w:val="16"/>
        </w:rPr>
        <w:t>空间开阔是人们在秋冬两季来广场的主要原因，它影响了人们对广场各区的热认知；</w:t>
      </w:r>
      <w:r>
        <w:rPr>
          <w:rFonts w:ascii="宋体" w:hAnsi="宋体" w:eastAsia="宋体" w:cs="方正纤雅宋简体"/>
          <w:spacing w:val="-3"/>
          <w:sz w:val="16"/>
          <w:szCs w:val="16"/>
        </w:rPr>
        <w:t>5)</w:t>
      </w:r>
      <w:r>
        <w:rPr>
          <w:rFonts w:hint="eastAsia" w:ascii="宋体" w:hAnsi="宋体" w:eastAsia="宋体" w:cs="方正纤雅宋简体"/>
          <w:spacing w:val="-3"/>
          <w:sz w:val="16"/>
          <w:szCs w:val="16"/>
        </w:rPr>
        <w:t>创智广场的热中性范围低于国歌广场，空间形态与行为活动的耦合可能影响了人们的热中性范围。本研究成果可为上海高密度环境广场热环境设计及优化提供依据</w:t>
      </w:r>
      <w:r>
        <w:rPr>
          <w:rFonts w:hint="eastAsia" w:ascii="方正纤雅宋简体" w:eastAsia="方正纤雅宋简体" w:cs="方正纤雅宋简体" w:hAnsiTheme="minorHAnsi"/>
          <w:spacing w:val="-3"/>
          <w:sz w:val="16"/>
          <w:szCs w:val="16"/>
        </w:rPr>
        <w:t>。</w:t>
      </w:r>
    </w:p>
    <w:p>
      <w:pPr>
        <w:widowControl w:val="0"/>
        <w:autoSpaceDE w:val="0"/>
        <w:autoSpaceDN w:val="0"/>
        <w:adjustRightInd w:val="0"/>
        <w:spacing w:line="288" w:lineRule="auto"/>
        <w:jc w:val="both"/>
        <w:textAlignment w:val="center"/>
        <w:rPr>
          <w:rFonts w:ascii="方正书宋简体" w:eastAsia="方正书宋简体" w:cs="方正书宋简体"/>
          <w:b/>
          <w:color w:val="000000"/>
          <w:sz w:val="16"/>
          <w:szCs w:val="16"/>
          <w:lang w:val="zh-CN" w:eastAsia="zh-CN"/>
        </w:rPr>
      </w:pPr>
      <w:r>
        <w:rPr>
          <w:rFonts w:hint="eastAsia" w:ascii="方正纤雅宋_GBK" w:hAnsi="宋体" w:eastAsia="方正纤雅宋_GBK"/>
          <w:b/>
          <w:color w:val="C00000"/>
          <w:sz w:val="16"/>
          <w:szCs w:val="16"/>
          <w:lang w:eastAsia="zh-CN"/>
        </w:rPr>
        <w:t>（宋-8点 行距14点）</w:t>
      </w:r>
    </w:p>
    <w:p>
      <w:pPr>
        <w:pStyle w:val="38"/>
        <w:rPr>
          <w:rFonts w:ascii="宋体" w:hAnsi="宋体" w:eastAsia="宋体" w:cs="方正纤雅宋简体"/>
          <w:spacing w:val="-3"/>
          <w:sz w:val="16"/>
          <w:szCs w:val="16"/>
        </w:rPr>
      </w:pPr>
      <w:r>
        <w:rPr>
          <w:rFonts w:hint="eastAsia" w:ascii="宋体" w:hAnsi="宋体" w:eastAsia="宋体" w:cs="方正粗雅宋_GBK"/>
          <w:b/>
          <w:sz w:val="16"/>
          <w:szCs w:val="16"/>
        </w:rPr>
        <w:t>关</w:t>
      </w:r>
      <w:r>
        <w:rPr>
          <w:rFonts w:ascii="宋体" w:hAnsi="宋体" w:eastAsia="宋体" w:cs="方正粗雅宋_GBK"/>
          <w:b/>
          <w:sz w:val="16"/>
          <w:szCs w:val="16"/>
        </w:rPr>
        <w:t xml:space="preserve"> </w:t>
      </w:r>
      <w:r>
        <w:rPr>
          <w:rFonts w:hint="eastAsia" w:ascii="宋体" w:hAnsi="宋体" w:eastAsia="宋体" w:cs="方正粗雅宋_GBK"/>
          <w:b/>
          <w:sz w:val="16"/>
          <w:szCs w:val="16"/>
        </w:rPr>
        <w:t>键</w:t>
      </w:r>
      <w:r>
        <w:rPr>
          <w:rFonts w:ascii="宋体" w:hAnsi="宋体" w:eastAsia="宋体" w:cs="方正粗雅宋_GBK"/>
          <w:b/>
          <w:sz w:val="16"/>
          <w:szCs w:val="16"/>
        </w:rPr>
        <w:t xml:space="preserve"> </w:t>
      </w:r>
      <w:r>
        <w:rPr>
          <w:rFonts w:hint="eastAsia" w:ascii="宋体" w:hAnsi="宋体" w:eastAsia="宋体" w:cs="方正粗雅宋_GBK"/>
          <w:b/>
          <w:sz w:val="16"/>
          <w:szCs w:val="16"/>
        </w:rPr>
        <w:t>词：</w:t>
      </w:r>
      <w:r>
        <w:rPr>
          <w:rFonts w:hint="eastAsia" w:ascii="宋体" w:hAnsi="宋体" w:eastAsia="宋体" w:cs="方正纤雅宋简体"/>
          <w:spacing w:val="-3"/>
          <w:sz w:val="16"/>
          <w:szCs w:val="16"/>
        </w:rPr>
        <w:t>风景园林；城市广场；小气候；热感知；空间形态</w:t>
      </w:r>
    </w:p>
    <w:p>
      <w:pPr>
        <w:widowControl w:val="0"/>
        <w:spacing w:line="320" w:lineRule="exact"/>
        <w:jc w:val="both"/>
        <w:rPr>
          <w:rFonts w:ascii="宋体" w:hAnsi="宋体" w:cs="方正纤雅宋简体"/>
          <w:color w:val="000000"/>
          <w:spacing w:val="-3"/>
          <w:sz w:val="16"/>
          <w:szCs w:val="16"/>
          <w:lang w:val="zh-CN" w:eastAsia="zh-CN"/>
        </w:rPr>
      </w:pPr>
    </w:p>
    <w:p>
      <w:pPr>
        <w:widowControl w:val="0"/>
        <w:spacing w:line="320" w:lineRule="exact"/>
        <w:jc w:val="both"/>
        <w:rPr>
          <w:rFonts w:ascii="宋体" w:hAnsi="宋体" w:cs="方正纤雅宋简体"/>
          <w:color w:val="000000"/>
          <w:spacing w:val="-3"/>
          <w:sz w:val="16"/>
          <w:szCs w:val="16"/>
          <w:lang w:val="zh-CN" w:eastAsia="zh-CN"/>
        </w:rPr>
      </w:pPr>
    </w:p>
    <w:p>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文章编号：</w:t>
      </w:r>
      <w:r>
        <w:rPr>
          <w:rFonts w:ascii="宋体" w:hAnsi="宋体" w:cs="方正纤雅宋简体"/>
          <w:color w:val="000000"/>
          <w:spacing w:val="-3"/>
          <w:sz w:val="16"/>
          <w:szCs w:val="16"/>
          <w:lang w:val="zh-CN" w:eastAsia="zh-CN"/>
        </w:rPr>
        <w:t>1000-6664(201</w:t>
      </w:r>
      <w:r>
        <w:rPr>
          <w:rFonts w:hint="eastAsia" w:ascii="宋体" w:hAnsi="宋体" w:cs="方正纤雅宋简体"/>
          <w:color w:val="000000"/>
          <w:spacing w:val="-3"/>
          <w:sz w:val="16"/>
          <w:szCs w:val="16"/>
          <w:lang w:val="en-US" w:eastAsia="zh-CN"/>
        </w:rPr>
        <w:t>9</w:t>
      </w:r>
      <w:r>
        <w:rPr>
          <w:rFonts w:ascii="宋体" w:hAnsi="宋体" w:cs="方正纤雅宋简体"/>
          <w:color w:val="000000"/>
          <w:spacing w:val="-3"/>
          <w:sz w:val="16"/>
          <w:szCs w:val="16"/>
          <w:lang w:val="zh-CN" w:eastAsia="zh-CN"/>
        </w:rPr>
        <w:t>)0</w:t>
      </w:r>
      <w:r>
        <w:rPr>
          <w:rFonts w:hint="eastAsia" w:ascii="宋体" w:hAnsi="宋体" w:cs="方正纤雅宋简体"/>
          <w:color w:val="000000"/>
          <w:spacing w:val="-3"/>
          <w:sz w:val="16"/>
          <w:szCs w:val="16"/>
          <w:lang w:val="en-US" w:eastAsia="zh-CN"/>
        </w:rPr>
        <w:t>0</w:t>
      </w:r>
      <w:r>
        <w:rPr>
          <w:rFonts w:ascii="宋体" w:hAnsi="宋体" w:cs="方正纤雅宋简体"/>
          <w:color w:val="000000"/>
          <w:spacing w:val="-3"/>
          <w:sz w:val="16"/>
          <w:szCs w:val="16"/>
          <w:lang w:val="zh-CN" w:eastAsia="zh-CN"/>
        </w:rPr>
        <w:t>-0000-0</w:t>
      </w:r>
      <w:r>
        <w:rPr>
          <w:rFonts w:hint="eastAsia" w:ascii="宋体" w:hAnsi="宋体" w:cs="方正纤雅宋简体"/>
          <w:color w:val="000000"/>
          <w:spacing w:val="-3"/>
          <w:sz w:val="16"/>
          <w:szCs w:val="16"/>
          <w:lang w:val="en-US" w:eastAsia="zh-CN"/>
        </w:rPr>
        <w:t>0</w:t>
      </w:r>
    </w:p>
    <w:p>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中图分类号：</w:t>
      </w:r>
      <w:r>
        <w:rPr>
          <w:rFonts w:ascii="宋体" w:hAnsi="宋体" w:cs="方正纤雅宋简体"/>
          <w:color w:val="000000"/>
          <w:spacing w:val="-3"/>
          <w:sz w:val="16"/>
          <w:szCs w:val="16"/>
          <w:lang w:val="zh-CN" w:eastAsia="zh-CN"/>
        </w:rPr>
        <w:t xml:space="preserve">TU 986   </w:t>
      </w:r>
      <w:r>
        <w:rPr>
          <w:rFonts w:ascii="宋体" w:hAnsi="宋体" w:cs="方正书宋简体"/>
          <w:color w:val="000000"/>
          <w:sz w:val="16"/>
          <w:szCs w:val="16"/>
          <w:lang w:val="zh-CN" w:eastAsia="zh-CN"/>
        </w:rPr>
        <w:t xml:space="preserve">                  </w:t>
      </w:r>
    </w:p>
    <w:p>
      <w:pPr>
        <w:widowControl w:val="0"/>
        <w:autoSpaceDE w:val="0"/>
        <w:autoSpaceDN w:val="0"/>
        <w:adjustRightInd w:val="0"/>
        <w:spacing w:line="288" w:lineRule="auto"/>
        <w:jc w:val="both"/>
        <w:textAlignment w:val="center"/>
        <w:rPr>
          <w:rFonts w:ascii="宋体" w:hAnsi="宋体" w:cs="方正宋一简体"/>
          <w:color w:val="000000"/>
          <w:sz w:val="16"/>
          <w:szCs w:val="16"/>
          <w:lang w:val="zh-CN" w:eastAsia="zh-CN"/>
        </w:rPr>
      </w:pPr>
      <w:r>
        <w:rPr>
          <w:rFonts w:hint="eastAsia" w:ascii="宋体" w:hAnsi="宋体" w:cs="方正粗雅宋_GBK"/>
          <w:b/>
          <w:color w:val="000000"/>
          <w:sz w:val="16"/>
          <w:szCs w:val="16"/>
          <w:lang w:val="zh-CN" w:eastAsia="zh-CN"/>
        </w:rPr>
        <w:t>文献标志码</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A</w:t>
      </w:r>
    </w:p>
    <w:p>
      <w:pPr>
        <w:widowControl w:val="0"/>
        <w:autoSpaceDE w:val="0"/>
        <w:autoSpaceDN w:val="0"/>
        <w:adjustRightInd w:val="0"/>
        <w:spacing w:line="288" w:lineRule="auto"/>
        <w:jc w:val="both"/>
        <w:textAlignment w:val="center"/>
        <w:rPr>
          <w:rFonts w:ascii="宋体" w:hAnsi="宋体" w:cs="方正书宋简体"/>
          <w:color w:val="000000"/>
          <w:spacing w:val="-10"/>
          <w:sz w:val="16"/>
          <w:szCs w:val="16"/>
          <w:lang w:val="zh-CN" w:eastAsia="zh-CN"/>
        </w:rPr>
      </w:pPr>
      <w:r>
        <w:rPr>
          <w:rFonts w:hint="eastAsia" w:ascii="宋体" w:hAnsi="宋体" w:cs="方正粗雅宋_GBK"/>
          <w:b/>
          <w:color w:val="000000"/>
          <w:sz w:val="16"/>
          <w:szCs w:val="16"/>
          <w:lang w:val="zh-CN" w:eastAsia="zh-CN"/>
        </w:rPr>
        <w:t>收稿日期</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201</w:t>
      </w:r>
      <w:r>
        <w:rPr>
          <w:rFonts w:hint="eastAsia" w:ascii="宋体" w:hAnsi="宋体" w:cs="方正纤雅宋简体"/>
          <w:color w:val="000000"/>
          <w:spacing w:val="-3"/>
          <w:sz w:val="16"/>
          <w:szCs w:val="16"/>
          <w:lang w:val="en-US" w:eastAsia="zh-CN"/>
        </w:rPr>
        <w:t>9</w:t>
      </w:r>
      <w:r>
        <w:rPr>
          <w:rFonts w:ascii="宋体" w:hAnsi="宋体" w:cs="方正纤雅宋简体"/>
          <w:color w:val="000000"/>
          <w:spacing w:val="-3"/>
          <w:sz w:val="16"/>
          <w:szCs w:val="16"/>
          <w:lang w:val="zh-CN" w:eastAsia="zh-CN"/>
        </w:rPr>
        <w:t>-</w:t>
      </w:r>
      <w:r>
        <w:rPr>
          <w:rFonts w:hint="eastAsia" w:ascii="宋体" w:hAnsi="宋体" w:cs="方正纤雅宋简体"/>
          <w:color w:val="000000"/>
          <w:spacing w:val="-3"/>
          <w:sz w:val="16"/>
          <w:szCs w:val="16"/>
          <w:lang w:val="en-US" w:eastAsia="zh-CN"/>
        </w:rPr>
        <w:t>00</w:t>
      </w:r>
      <w:r>
        <w:rPr>
          <w:rFonts w:ascii="宋体" w:hAnsi="宋体" w:cs="方正纤雅宋简体"/>
          <w:color w:val="000000"/>
          <w:spacing w:val="-3"/>
          <w:sz w:val="16"/>
          <w:szCs w:val="16"/>
          <w:lang w:val="zh-CN" w:eastAsia="zh-CN"/>
        </w:rPr>
        <w:t>-</w:t>
      </w:r>
      <w:r>
        <w:rPr>
          <w:rFonts w:hint="eastAsia" w:ascii="宋体" w:hAnsi="宋体" w:cs="方正纤雅宋简体"/>
          <w:color w:val="000000"/>
          <w:spacing w:val="-3"/>
          <w:sz w:val="16"/>
          <w:szCs w:val="16"/>
          <w:lang w:val="en-US" w:eastAsia="zh-CN"/>
        </w:rPr>
        <w:t>00</w:t>
      </w:r>
      <w:r>
        <w:rPr>
          <w:rFonts w:ascii="宋体" w:hAnsi="宋体" w:cs="方正书宋简体"/>
          <w:color w:val="000000"/>
          <w:sz w:val="16"/>
          <w:szCs w:val="16"/>
          <w:lang w:val="zh-CN" w:eastAsia="zh-CN"/>
        </w:rPr>
        <w:t xml:space="preserve">         </w:t>
      </w:r>
      <w:r>
        <w:rPr>
          <w:rFonts w:ascii="宋体" w:hAnsi="宋体" w:cs="方正书宋简体"/>
          <w:color w:val="000000"/>
          <w:spacing w:val="-10"/>
          <w:sz w:val="16"/>
          <w:szCs w:val="16"/>
          <w:lang w:val="zh-CN" w:eastAsia="zh-CN"/>
        </w:rPr>
        <w:t xml:space="preserve">  </w:t>
      </w:r>
    </w:p>
    <w:p>
      <w:pPr>
        <w:widowControl w:val="0"/>
        <w:autoSpaceDE w:val="0"/>
        <w:autoSpaceDN w:val="0"/>
        <w:adjustRightInd w:val="0"/>
        <w:spacing w:line="288" w:lineRule="auto"/>
        <w:jc w:val="both"/>
        <w:textAlignment w:val="center"/>
        <w:rPr>
          <w:rFonts w:hint="default" w:ascii="宋体" w:hAnsi="宋体" w:cs="方正纤雅宋简体"/>
          <w:color w:val="000000"/>
          <w:spacing w:val="-3"/>
          <w:sz w:val="16"/>
          <w:szCs w:val="16"/>
          <w:lang w:val="en-US" w:eastAsia="zh-CN"/>
        </w:rPr>
      </w:pPr>
      <w:r>
        <w:rPr>
          <w:rFonts w:hint="eastAsia" w:ascii="宋体" w:hAnsi="宋体" w:cs="方正粗雅宋_GBK"/>
          <w:b/>
          <w:color w:val="000000"/>
          <w:sz w:val="16"/>
          <w:szCs w:val="16"/>
          <w:lang w:val="zh-CN" w:eastAsia="zh-CN"/>
        </w:rPr>
        <w:t>修回日期：</w:t>
      </w:r>
      <w:r>
        <w:rPr>
          <w:rFonts w:ascii="宋体" w:hAnsi="宋体" w:cs="方正纤雅宋简体"/>
          <w:color w:val="000000"/>
          <w:spacing w:val="-3"/>
          <w:sz w:val="16"/>
          <w:szCs w:val="16"/>
          <w:lang w:val="zh-CN" w:eastAsia="zh-CN"/>
        </w:rPr>
        <w:t>201</w:t>
      </w:r>
      <w:r>
        <w:rPr>
          <w:rFonts w:hint="eastAsia" w:ascii="宋体" w:hAnsi="宋体" w:cs="方正纤雅宋简体"/>
          <w:color w:val="000000"/>
          <w:spacing w:val="-3"/>
          <w:sz w:val="16"/>
          <w:szCs w:val="16"/>
          <w:lang w:val="en-US" w:eastAsia="zh-CN"/>
        </w:rPr>
        <w:t>9</w:t>
      </w:r>
      <w:r>
        <w:rPr>
          <w:rFonts w:ascii="宋体" w:hAnsi="宋体" w:cs="方正纤雅宋简体"/>
          <w:color w:val="000000"/>
          <w:spacing w:val="-3"/>
          <w:sz w:val="16"/>
          <w:szCs w:val="16"/>
          <w:lang w:val="zh-CN" w:eastAsia="zh-CN"/>
        </w:rPr>
        <w:t>-</w:t>
      </w:r>
      <w:r>
        <w:rPr>
          <w:rFonts w:hint="eastAsia" w:ascii="宋体" w:hAnsi="宋体" w:cs="方正纤雅宋简体"/>
          <w:color w:val="000000"/>
          <w:spacing w:val="-3"/>
          <w:sz w:val="16"/>
          <w:szCs w:val="16"/>
          <w:lang w:val="en-US" w:eastAsia="zh-CN"/>
        </w:rPr>
        <w:t>00</w:t>
      </w:r>
      <w:r>
        <w:rPr>
          <w:rFonts w:ascii="宋体" w:hAnsi="宋体" w:cs="方正纤雅宋简体"/>
          <w:color w:val="000000"/>
          <w:spacing w:val="-3"/>
          <w:sz w:val="16"/>
          <w:szCs w:val="16"/>
          <w:lang w:val="zh-CN" w:eastAsia="zh-CN"/>
        </w:rPr>
        <w:t>-</w:t>
      </w:r>
      <w:r>
        <w:rPr>
          <w:rFonts w:hint="eastAsia" w:ascii="宋体" w:hAnsi="宋体" w:cs="方正纤雅宋简体"/>
          <w:color w:val="000000"/>
          <w:spacing w:val="-3"/>
          <w:sz w:val="16"/>
          <w:szCs w:val="16"/>
          <w:lang w:val="en-US" w:eastAsia="zh-CN"/>
        </w:rPr>
        <w:t>00</w:t>
      </w:r>
    </w:p>
    <w:p>
      <w:pPr>
        <w:pStyle w:val="38"/>
        <w:rPr>
          <w:rFonts w:ascii="宋体" w:hAnsi="宋体" w:eastAsia="宋体" w:cs="方正纤雅宋简体"/>
          <w:spacing w:val="-3"/>
          <w:sz w:val="16"/>
          <w:szCs w:val="16"/>
        </w:rPr>
      </w:pPr>
      <w:r>
        <w:rPr>
          <w:rFonts w:hint="eastAsia" w:ascii="宋体" w:hAnsi="宋体" w:eastAsia="宋体" w:cs="方正粗雅宋_GBK"/>
          <w:b/>
          <w:sz w:val="16"/>
          <w:szCs w:val="16"/>
        </w:rPr>
        <w:t>基金项目：</w:t>
      </w:r>
      <w:r>
        <w:rPr>
          <w:rFonts w:hint="eastAsia" w:ascii="宋体" w:hAnsi="宋体" w:eastAsia="宋体" w:cs="方正纤雅宋简体"/>
          <w:spacing w:val="-3"/>
          <w:sz w:val="16"/>
          <w:szCs w:val="16"/>
        </w:rPr>
        <w:t>国家自然科学基金重点项目“城市宜居环境风景园林小气候适应性设计理论和方法研究”</w:t>
      </w:r>
      <w:r>
        <w:rPr>
          <w:rFonts w:ascii="宋体" w:hAnsi="宋体" w:eastAsia="宋体" w:cs="方正纤雅宋简体"/>
          <w:spacing w:val="-3"/>
          <w:sz w:val="16"/>
          <w:szCs w:val="16"/>
        </w:rPr>
        <w:t>(</w:t>
      </w:r>
      <w:r>
        <w:rPr>
          <w:rFonts w:hint="eastAsia" w:ascii="宋体" w:hAnsi="宋体" w:eastAsia="宋体" w:cs="方正纤雅宋简体"/>
          <w:spacing w:val="-3"/>
          <w:sz w:val="16"/>
          <w:szCs w:val="16"/>
        </w:rPr>
        <w:t>编号</w:t>
      </w:r>
      <w:r>
        <w:rPr>
          <w:rFonts w:ascii="宋体" w:hAnsi="宋体" w:eastAsia="宋体" w:cs="方正纤雅宋简体"/>
          <w:spacing w:val="-3"/>
          <w:sz w:val="16"/>
          <w:szCs w:val="16"/>
        </w:rPr>
        <w:t>51338007)</w:t>
      </w:r>
      <w:r>
        <w:rPr>
          <w:rFonts w:hint="eastAsia" w:ascii="宋体" w:hAnsi="宋体" w:eastAsia="宋体" w:cs="方正纤雅宋简体"/>
          <w:spacing w:val="-3"/>
          <w:sz w:val="16"/>
          <w:szCs w:val="16"/>
        </w:rPr>
        <w:t>资助</w:t>
      </w: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autoSpaceDE w:val="0"/>
        <w:autoSpaceDN w:val="0"/>
        <w:adjustRightInd w:val="0"/>
        <w:spacing w:line="288" w:lineRule="auto"/>
        <w:jc w:val="both"/>
        <w:textAlignment w:val="center"/>
        <w:rPr>
          <w:rFonts w:ascii="Times New Roman" w:hAnsi="Times New Roman" w:eastAsia="华文黑体 Light" w:cs="Times New Roman"/>
          <w:b/>
          <w:bCs/>
          <w:color w:val="000000"/>
          <w:sz w:val="16"/>
          <w:szCs w:val="16"/>
          <w:lang w:val="zh-CN" w:eastAsia="zh-CN"/>
        </w:rPr>
      </w:pPr>
    </w:p>
    <w:p>
      <w:pPr>
        <w:widowControl w:val="0"/>
        <w:autoSpaceDE w:val="0"/>
        <w:autoSpaceDN w:val="0"/>
        <w:adjustRightInd w:val="0"/>
        <w:spacing w:line="288" w:lineRule="auto"/>
        <w:jc w:val="both"/>
        <w:textAlignment w:val="center"/>
        <w:rPr>
          <w:rFonts w:ascii="Times New Roman" w:hAnsi="Times New Roman" w:eastAsia="华文黑体 Light" w:cs="Times New Roman"/>
          <w:b/>
          <w:bCs/>
          <w:color w:val="000000"/>
          <w:sz w:val="16"/>
          <w:szCs w:val="16"/>
          <w:lang w:val="zh-CN" w:eastAsia="zh-CN"/>
        </w:rPr>
      </w:pPr>
    </w:p>
    <w:p>
      <w:pPr>
        <w:widowControl w:val="0"/>
        <w:autoSpaceDE w:val="0"/>
        <w:autoSpaceDN w:val="0"/>
        <w:adjustRightInd w:val="0"/>
        <w:spacing w:line="288" w:lineRule="auto"/>
        <w:jc w:val="both"/>
        <w:textAlignment w:val="center"/>
        <w:rPr>
          <w:rFonts w:ascii="黑体" w:hAnsi="黑体" w:eastAsia="黑体" w:cs="Times New Roman"/>
          <w:b/>
          <w:bCs/>
          <w:color w:val="000000"/>
          <w:sz w:val="16"/>
          <w:szCs w:val="16"/>
          <w:lang w:val="zh-CN" w:eastAsia="zh-CN"/>
        </w:rPr>
      </w:pPr>
    </w:p>
    <w:p>
      <w:pPr>
        <w:widowControl w:val="0"/>
        <w:autoSpaceDE w:val="0"/>
        <w:autoSpaceDN w:val="0"/>
        <w:adjustRightInd w:val="0"/>
        <w:spacing w:line="288" w:lineRule="auto"/>
        <w:jc w:val="both"/>
        <w:textAlignment w:val="center"/>
        <w:rPr>
          <w:rFonts w:hint="eastAsia" w:ascii="黑体" w:hAnsi="黑体" w:eastAsia="黑体" w:cs="Times New Roman"/>
          <w:b/>
          <w:color w:val="C00000"/>
          <w:sz w:val="18"/>
          <w:szCs w:val="18"/>
          <w:lang w:eastAsia="zh-CN"/>
        </w:rPr>
      </w:pPr>
      <w:r>
        <w:rPr>
          <w:rFonts w:hint="eastAsia" w:ascii="黑体" w:hAnsi="黑体" w:eastAsia="黑体" w:cs="Times New Roman"/>
          <w:b/>
          <w:sz w:val="18"/>
          <w:szCs w:val="18"/>
          <w:lang w:eastAsia="zh-CN"/>
        </w:rPr>
        <w:t>内文</w:t>
      </w:r>
      <w:r>
        <w:rPr>
          <w:rFonts w:hint="eastAsia" w:ascii="黑体" w:hAnsi="黑体" w:eastAsia="黑体" w:cs="Times New Roman"/>
          <w:b/>
          <w:color w:val="C00000"/>
          <w:sz w:val="18"/>
          <w:szCs w:val="18"/>
          <w:lang w:eastAsia="zh-CN"/>
        </w:rPr>
        <w:t>（黑体-8.5点 行距16点）</w:t>
      </w:r>
    </w:p>
    <w:p>
      <w:pPr>
        <w:widowControl w:val="0"/>
        <w:autoSpaceDE w:val="0"/>
        <w:autoSpaceDN w:val="0"/>
        <w:adjustRightInd w:val="0"/>
        <w:spacing w:line="288" w:lineRule="auto"/>
        <w:jc w:val="both"/>
        <w:textAlignment w:val="center"/>
        <w:rPr>
          <w:rFonts w:hint="eastAsia" w:ascii="黑体" w:hAnsi="黑体" w:eastAsia="黑体" w:cs="Times New Roman"/>
          <w:b/>
          <w:color w:val="C00000"/>
          <w:sz w:val="18"/>
          <w:szCs w:val="18"/>
          <w:lang w:val="zh-CN" w:eastAsia="zh-CN"/>
        </w:rPr>
      </w:pPr>
    </w:p>
    <w:p>
      <w:pPr>
        <w:pStyle w:val="38"/>
        <w:rPr>
          <w:rFonts w:ascii="Times New Roman" w:cs="Times New Roman"/>
          <w:sz w:val="16"/>
          <w:szCs w:val="16"/>
        </w:rPr>
      </w:pPr>
      <w:r>
        <w:rPr>
          <w:rFonts w:ascii="Times New Roman" w:cs="Times New Roman"/>
          <w:b/>
          <w:bCs/>
          <w:sz w:val="16"/>
          <w:szCs w:val="16"/>
        </w:rPr>
        <w:t>Abstract</w:t>
      </w:r>
      <w:r>
        <w:rPr>
          <w:rFonts w:hint="eastAsia" w:ascii="Times New Roman" w:cs="Times New Roman"/>
          <w:b/>
          <w:color w:val="C00000"/>
          <w:sz w:val="16"/>
          <w:szCs w:val="16"/>
        </w:rPr>
        <w:t>（</w:t>
      </w:r>
      <w:r>
        <w:rPr>
          <w:rFonts w:ascii="Times New Roman" w:cs="Times New Roman"/>
          <w:b/>
          <w:color w:val="C00000"/>
          <w:sz w:val="16"/>
          <w:szCs w:val="16"/>
        </w:rPr>
        <w:t>Times New Roman</w:t>
      </w:r>
      <w:r>
        <w:rPr>
          <w:rFonts w:hint="eastAsia" w:ascii="Times New Roman" w:cs="Times New Roman"/>
          <w:b/>
          <w:color w:val="C00000"/>
          <w:sz w:val="16"/>
          <w:szCs w:val="16"/>
        </w:rPr>
        <w:t>-8点 行距14点）</w:t>
      </w:r>
      <w:r>
        <w:rPr>
          <w:rFonts w:ascii="Times New Roman" w:cs="Times New Roman"/>
          <w:b/>
          <w:bCs/>
          <w:sz w:val="16"/>
          <w:szCs w:val="16"/>
        </w:rPr>
        <w:t xml:space="preserve">: </w:t>
      </w:r>
      <w:r>
        <w:rPr>
          <w:rFonts w:ascii="Times New Roman" w:cs="Times New Roman"/>
          <w:sz w:val="16"/>
          <w:szCs w:val="16"/>
        </w:rPr>
        <w:t>This paper mainly discusses the relationship among space form, thermal environment and users' psychological perception via micro-climatic test and questionnaire in three seasons (summer, autumn and winter) at Shanghai Knowledge &amp; Innovation Community (KIC) Square, with 870 questionnaires completed during 10 test days. The analytical results have indicated the following findings. 1</w:t>
      </w:r>
      <w:r>
        <w:rPr>
          <w:rFonts w:ascii="Adobe 宋体 Std L" w:eastAsia="Adobe 宋体 Std L" w:cs="Adobe 宋体 Std L" w:hAnsiTheme="minorHAnsi"/>
          <w:sz w:val="16"/>
          <w:szCs w:val="16"/>
        </w:rPr>
        <w:t xml:space="preserve">) </w:t>
      </w:r>
      <w:r>
        <w:rPr>
          <w:rFonts w:ascii="Times New Roman" w:cs="Times New Roman"/>
          <w:sz w:val="16"/>
          <w:szCs w:val="16"/>
        </w:rPr>
        <w:t>The thermal environment of the square closely relates to sky view factors (SVF), and summer requires smaller SVF while winter requires larger SVF. 2) The range of thermal neutrality and thermal comfort vary with seasons, both of them are significantly related to air temperature and physiological equivalent temperature (PET), with higher correlation coefficient and thermal sensation. 3) Human being's thermal perception and cognition suggests that the thermal environment of the square is in a more severe situation in summer. 4) Openness is the main reason for people to come to the square in autumn and winter, which affects people's thermal perception of the square. 5) Guoge Square has more broad thermal neutral range than the KIC Square, which may be caused by the coupling effect of square form and behavioral factors. Those findings in this paper may serve as the theoretical foundation for the future design of square of high density in Shanghai.</w:t>
      </w:r>
    </w:p>
    <w:p>
      <w:pPr>
        <w:pStyle w:val="38"/>
        <w:rPr>
          <w:rFonts w:ascii="Times New Roman" w:cs="Times New Roman"/>
          <w:sz w:val="16"/>
          <w:szCs w:val="16"/>
        </w:rPr>
      </w:pPr>
      <w:r>
        <w:rPr>
          <w:rFonts w:ascii="Times New Roman" w:cs="Times New Roman"/>
          <w:b/>
          <w:bCs/>
          <w:sz w:val="16"/>
          <w:szCs w:val="16"/>
        </w:rPr>
        <w:t>Key words</w:t>
      </w:r>
      <w:r>
        <w:rPr>
          <w:rFonts w:hint="eastAsia" w:ascii="Times New Roman" w:cs="Times New Roman"/>
          <w:b/>
          <w:color w:val="C00000"/>
          <w:sz w:val="16"/>
          <w:szCs w:val="16"/>
        </w:rPr>
        <w:t>(</w:t>
      </w:r>
      <w:r>
        <w:rPr>
          <w:b/>
          <w:color w:val="C00000"/>
        </w:rPr>
        <w:t xml:space="preserve"> </w:t>
      </w:r>
      <w:r>
        <w:rPr>
          <w:rFonts w:ascii="Times New Roman" w:cs="Times New Roman"/>
          <w:b/>
          <w:color w:val="C00000"/>
          <w:sz w:val="16"/>
          <w:szCs w:val="16"/>
        </w:rPr>
        <w:t>Times New Roman</w:t>
      </w:r>
      <w:r>
        <w:rPr>
          <w:rFonts w:hint="eastAsia" w:ascii="Times New Roman" w:cs="Times New Roman"/>
          <w:b/>
          <w:color w:val="C00000"/>
          <w:sz w:val="16"/>
          <w:szCs w:val="16"/>
        </w:rPr>
        <w:t>-8点行距14点)</w:t>
      </w:r>
      <w:r>
        <w:rPr>
          <w:rFonts w:ascii="Times New Roman" w:cs="Times New Roman"/>
          <w:b/>
          <w:bCs/>
          <w:sz w:val="16"/>
          <w:szCs w:val="16"/>
        </w:rPr>
        <w:t>:</w:t>
      </w:r>
      <w:r>
        <w:rPr>
          <w:rFonts w:ascii="Times New Roman" w:cs="Times New Roman"/>
          <w:sz w:val="16"/>
          <w:szCs w:val="16"/>
        </w:rPr>
        <w:t xml:space="preserve"> landscape architecture; urban square; micro-climate; thermal perception; space form</w:t>
      </w: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pStyle w:val="49"/>
        <w:ind w:firstLine="0"/>
        <w:sectPr>
          <w:type w:val="continuous"/>
          <w:pgSz w:w="11900" w:h="16840"/>
          <w:pgMar w:top="1985" w:right="851" w:bottom="1134" w:left="1134" w:header="709" w:footer="709" w:gutter="0"/>
          <w:cols w:space="708" w:num="2"/>
          <w:docGrid w:linePitch="360" w:charSpace="0"/>
        </w:sectPr>
      </w:pPr>
    </w:p>
    <w:p>
      <w:pPr>
        <w:widowControl w:val="0"/>
        <w:autoSpaceDE w:val="0"/>
        <w:autoSpaceDN w:val="0"/>
        <w:adjustRightInd w:val="0"/>
        <w:spacing w:line="320" w:lineRule="atLeast"/>
        <w:ind w:firstLine="340"/>
        <w:jc w:val="both"/>
        <w:textAlignment w:val="center"/>
        <w:rPr>
          <w:rFonts w:hint="eastAsia"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1个世纪以来，地域气候对设计的影响从人们居住的室内空间走向人们活动的户外空间，成为多学科关注的焦点。在全球气候变化和快速城市化的影响下，中国风景园林学者正在积极关注气候对城市户外空间环境的影响。本课题组已经针对上海“三类九种”城市户外空间开展了持续3年的研究。</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在城市广场类别中，围绕风景园林小气候系统功效形成要素、风景园林小气候适应性空间要素与空间形态结构和风景园林小气候适宜性物理评价与感受评价已取得一些成果</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。依托于景观环境形象、环境生态绿化、大众行为心理三元素对于人们环境感受所起的作用是相辅相成、密不可分的这一理论支撑</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，本研究尝试探索城市广场空间形态、热环境和使用者心理感知之间的关系。</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1  </w:t>
      </w:r>
      <w:r>
        <w:rPr>
          <w:rFonts w:hint="eastAsia" w:ascii="黑体" w:hAnsi="黑体" w:eastAsia="黑体" w:cs="方正兰亭准黑_GBK"/>
          <w:color w:val="000000"/>
          <w:sz w:val="18"/>
          <w:szCs w:val="18"/>
          <w:lang w:val="zh-CN" w:eastAsia="zh-CN"/>
        </w:rPr>
        <w:t>研究方法</w:t>
      </w:r>
      <w:r>
        <w:rPr>
          <w:rFonts w:hint="eastAsia" w:ascii="黑体" w:hAnsi="黑体" w:eastAsia="黑体" w:cs="Times New Roman"/>
          <w:b/>
          <w:color w:val="C00000"/>
          <w:sz w:val="18"/>
          <w:szCs w:val="18"/>
          <w:lang w:eastAsia="zh-CN"/>
        </w:rPr>
        <w:t>（黑体-9点 行距16点）</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1.1  </w:t>
      </w:r>
      <w:r>
        <w:rPr>
          <w:rFonts w:hint="eastAsia" w:ascii="黑体" w:hAnsi="黑体" w:eastAsia="黑体" w:cs="方正兰亭准黑_GBK"/>
          <w:color w:val="000000"/>
          <w:sz w:val="17"/>
          <w:szCs w:val="17"/>
          <w:lang w:val="zh-CN" w:eastAsia="zh-CN"/>
        </w:rPr>
        <w:t>实验场地</w:t>
      </w:r>
      <w:r>
        <w:rPr>
          <w:rFonts w:hint="eastAsia" w:ascii="黑体" w:hAnsi="黑体" w:eastAsia="黑体" w:cs="Times New Roman"/>
          <w:b/>
          <w:color w:val="C00000"/>
          <w:sz w:val="17"/>
          <w:szCs w:val="17"/>
          <w:lang w:eastAsia="zh-CN"/>
        </w:rPr>
        <w:t>（黑体-8.5点 行距16点）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上海市地处东经</w:t>
      </w:r>
      <w:r>
        <w:rPr>
          <w:rFonts w:ascii="黑体" w:hAnsi="黑体" w:eastAsia="黑体" w:cs="方正兰亭纤黑_GBK"/>
          <w:color w:val="000000"/>
          <w:sz w:val="17"/>
          <w:szCs w:val="17"/>
          <w:lang w:val="zh-CN" w:eastAsia="zh-CN"/>
        </w:rPr>
        <w:t>120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′，北纬</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′，平均海拔</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；属亚热带季风性气候，为夏热冬冷气候区，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月份气温最高。</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本研究的实验地——上海创智天地广场位于杨浦区创智天地产业园区内，广场整体下沉</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，四周有</w:t>
      </w:r>
      <w:r>
        <w:rPr>
          <w:rFonts w:ascii="黑体" w:hAnsi="黑体" w:eastAsia="黑体" w:cs="方正兰亭纤黑_GBK"/>
          <w:color w:val="000000"/>
          <w:sz w:val="17"/>
          <w:szCs w:val="17"/>
          <w:lang w:val="zh-CN" w:eastAsia="zh-CN"/>
        </w:rPr>
        <w:t>25m</w:t>
      </w:r>
      <w:r>
        <w:rPr>
          <w:rFonts w:hint="eastAsia" w:ascii="黑体" w:hAnsi="黑体" w:eastAsia="黑体" w:cs="方正兰亭纤黑_GBK"/>
          <w:color w:val="000000"/>
          <w:sz w:val="17"/>
          <w:szCs w:val="17"/>
          <w:lang w:val="zh-CN" w:eastAsia="zh-CN"/>
        </w:rPr>
        <w:t>高的商业写字楼。如图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所示，广场总平面成</w:t>
      </w:r>
      <w:r>
        <w:rPr>
          <w:rFonts w:ascii="黑体" w:hAnsi="黑体" w:eastAsia="黑体" w:cs="方正兰亭纤黑_GBK"/>
          <w:color w:val="000000"/>
          <w:sz w:val="17"/>
          <w:szCs w:val="17"/>
          <w:lang w:val="zh-CN" w:eastAsia="zh-CN"/>
        </w:rPr>
        <w:t>T</w:t>
      </w:r>
      <w:r>
        <w:rPr>
          <w:rFonts w:hint="eastAsia" w:ascii="黑体" w:hAnsi="黑体" w:eastAsia="黑体" w:cs="方正兰亭纤黑_GBK"/>
          <w:color w:val="000000"/>
          <w:sz w:val="17"/>
          <w:szCs w:val="17"/>
          <w:lang w:val="zh-CN" w:eastAsia="zh-CN"/>
        </w:rPr>
        <w:t>字形，主广场为东北—西南走向</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北偏东</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50m</w:t>
      </w:r>
      <w:r>
        <w:rPr>
          <w:rFonts w:hint="eastAsia" w:ascii="黑体" w:hAnsi="黑体" w:eastAsia="黑体" w:cs="方正兰亭纤黑_GBK"/>
          <w:color w:val="000000"/>
          <w:sz w:val="17"/>
          <w:szCs w:val="17"/>
          <w:lang w:val="zh-CN" w:eastAsia="zh-CN"/>
        </w:rPr>
        <w:t>，副广场与主广场垂直，长约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40m</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中标注了广场区、悬挑区和草坪区</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个部分及测试点位置。图</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是各区人视及鱼眼照片；场地空间形态测量仪器主要有鱼眼镜头和超声波测距仪。各区空间形态基本情况见表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1.2  </w:t>
      </w:r>
      <w:r>
        <w:rPr>
          <w:rFonts w:hint="eastAsia" w:ascii="黑体" w:hAnsi="黑体" w:eastAsia="黑体" w:cs="方正兰亭准黑_GBK"/>
          <w:color w:val="000000"/>
          <w:sz w:val="17"/>
          <w:szCs w:val="17"/>
          <w:lang w:val="zh-CN" w:eastAsia="zh-CN"/>
        </w:rPr>
        <w:t>小气候测试</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本研究测试了空气温度、相对湿度、风速和太阳辐射等小气候因子。测试仪器采用美国生产的</w:t>
      </w:r>
      <w:r>
        <w:rPr>
          <w:rFonts w:ascii="黑体" w:hAnsi="黑体" w:eastAsia="黑体" w:cs="方正兰亭纤黑_GBK"/>
          <w:color w:val="000000"/>
          <w:sz w:val="17"/>
          <w:szCs w:val="17"/>
          <w:lang w:val="zh-CN" w:eastAsia="zh-CN"/>
        </w:rPr>
        <w:t>Watchdog</w:t>
      </w:r>
      <w:r>
        <w:rPr>
          <w:rFonts w:hint="eastAsia" w:ascii="黑体" w:hAnsi="黑体" w:eastAsia="黑体" w:cs="方正兰亭纤黑_GBK"/>
          <w:color w:val="000000"/>
          <w:sz w:val="17"/>
          <w:szCs w:val="17"/>
          <w:lang w:val="zh-CN" w:eastAsia="zh-CN"/>
        </w:rPr>
        <w:t>小型气象站。设备装配在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个</w:t>
      </w:r>
      <w:r>
        <w:rPr>
          <w:rFonts w:ascii="黑体" w:hAnsi="黑体" w:eastAsia="黑体" w:cs="方正兰亭纤黑_GBK"/>
          <w:color w:val="000000"/>
          <w:sz w:val="17"/>
          <w:szCs w:val="17"/>
          <w:lang w:val="zh-CN" w:eastAsia="zh-CN"/>
        </w:rPr>
        <w:t>1.5m</w:t>
      </w:r>
      <w:r>
        <w:rPr>
          <w:rFonts w:hint="eastAsia" w:ascii="黑体" w:hAnsi="黑体" w:eastAsia="黑体" w:cs="方正兰亭纤黑_GBK"/>
          <w:color w:val="000000"/>
          <w:sz w:val="17"/>
          <w:szCs w:val="17"/>
          <w:lang w:val="zh-CN" w:eastAsia="zh-CN"/>
        </w:rPr>
        <w:t>高的三脚架上，与成人头部、颈部高度接近，设定为每</w:t>
      </w:r>
      <w:r>
        <w:rPr>
          <w:rFonts w:ascii="黑体" w:hAnsi="黑体" w:eastAsia="黑体" w:cs="方正兰亭纤黑_GBK"/>
          <w:color w:val="000000"/>
          <w:sz w:val="17"/>
          <w:szCs w:val="17"/>
          <w:lang w:val="zh-CN" w:eastAsia="zh-CN"/>
        </w:rPr>
        <w:t>10min</w:t>
      </w:r>
      <w:r>
        <w:rPr>
          <w:rFonts w:hint="eastAsia" w:ascii="黑体" w:hAnsi="黑体" w:eastAsia="黑体" w:cs="方正兰亭纤黑_GBK"/>
          <w:color w:val="000000"/>
          <w:sz w:val="17"/>
          <w:szCs w:val="17"/>
          <w:lang w:val="zh-CN" w:eastAsia="zh-CN"/>
        </w:rPr>
        <w:t>自记</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次。</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实验在</w:t>
      </w:r>
      <w:r>
        <w:rPr>
          <w:rFonts w:ascii="黑体" w:hAnsi="黑体" w:eastAsia="黑体" w:cs="方正兰亭纤黑_GBK"/>
          <w:color w:val="000000"/>
          <w:sz w:val="17"/>
          <w:szCs w:val="17"/>
          <w:lang w:val="zh-CN" w:eastAsia="zh-CN"/>
        </w:rPr>
        <w:t>2016</w:t>
      </w:r>
      <w:r>
        <w:rPr>
          <w:rFonts w:hint="eastAsia" w:ascii="黑体" w:hAnsi="黑体" w:eastAsia="黑体" w:cs="方正兰亭纤黑_GBK"/>
          <w:color w:val="000000"/>
          <w:sz w:val="17"/>
          <w:szCs w:val="17"/>
          <w:lang w:val="zh-CN" w:eastAsia="zh-CN"/>
        </w:rPr>
        <w:t>年的</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月和</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月晴朗少云的天气进行，夏秋两季各</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天，冬季</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天，共计</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个测试日。每个测试日的实验开始时间为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；结束时间受到日落的影响：夏季为</w:t>
      </w:r>
      <w:r>
        <w:rPr>
          <w:rFonts w:ascii="黑体" w:hAnsi="黑体" w:eastAsia="黑体" w:cs="方正兰亭纤黑_GBK"/>
          <w:color w:val="000000"/>
          <w:sz w:val="17"/>
          <w:szCs w:val="17"/>
          <w:lang w:val="zh-CN" w:eastAsia="zh-CN"/>
        </w:rPr>
        <w:t>18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，秋季为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，冬季为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1.3  </w:t>
      </w:r>
      <w:r>
        <w:rPr>
          <w:rFonts w:hint="eastAsia" w:ascii="黑体" w:hAnsi="黑体" w:eastAsia="黑体" w:cs="方正兰亭准黑_GBK"/>
          <w:color w:val="000000"/>
          <w:sz w:val="17"/>
          <w:szCs w:val="17"/>
          <w:lang w:val="zh-CN" w:eastAsia="zh-CN"/>
        </w:rPr>
        <w:t>热舒适指标</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本研究选择生理等效温度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6"/>
          <w:szCs w:val="16"/>
          <w:lang w:val="zh-CN" w:eastAsia="zh-CN"/>
          <w14:textFill>
            <w14:solidFill>
              <w14:schemeClr w14:val="tx1"/>
            </w14:solidFill>
          </w14:textFill>
        </w:rPr>
        <w:t xml:space="preserve"> ①</w:t>
      </w:r>
      <w:r>
        <w:rPr>
          <w:rFonts w:hint="eastAsia" w:ascii="黑体" w:hAnsi="黑体" w:eastAsia="黑体" w:cs="方正兰亭纤黑_GBK"/>
          <w:color w:val="000000"/>
          <w:sz w:val="17"/>
          <w:szCs w:val="17"/>
          <w:lang w:val="zh-CN" w:eastAsia="zh-CN"/>
        </w:rPr>
        <w:t>作为热舒适评价指标。它被定义为在某一室内或户外环境中，人体皮肤温度和体内温度达到与典型室内环境同等的热状态时所对应的气温。尽管预测平均投票</w:t>
      </w:r>
      <w:r>
        <w:rPr>
          <w:rFonts w:ascii="黑体" w:hAnsi="黑体" w:eastAsia="黑体" w:cs="方正兰亭纤黑_GBK"/>
          <w:color w:val="000000"/>
          <w:sz w:val="17"/>
          <w:szCs w:val="17"/>
          <w:lang w:val="zh-CN" w:eastAsia="zh-CN"/>
        </w:rPr>
        <w:t>(PMV)</w:t>
      </w:r>
      <w:r>
        <w:rPr>
          <w:rFonts w:hint="eastAsia" w:ascii="黑体" w:hAnsi="黑体" w:eastAsia="黑体" w:cs="方正兰亭纤黑_GBK"/>
          <w:color w:val="000000"/>
          <w:sz w:val="17"/>
          <w:szCs w:val="17"/>
          <w:lang w:val="zh-CN" w:eastAsia="zh-CN"/>
        </w:rPr>
        <w:t>、标准有效温度</w:t>
      </w:r>
      <w:r>
        <w:rPr>
          <w:rFonts w:ascii="黑体" w:hAnsi="黑体" w:eastAsia="黑体" w:cs="方正兰亭纤黑_GBK"/>
          <w:color w:val="000000"/>
          <w:sz w:val="17"/>
          <w:szCs w:val="17"/>
          <w:lang w:val="zh-CN" w:eastAsia="zh-CN"/>
        </w:rPr>
        <w:t>(SET*)</w:t>
      </w:r>
      <w:r>
        <w:rPr>
          <w:rFonts w:hint="eastAsia" w:ascii="黑体" w:hAnsi="黑体" w:eastAsia="黑体" w:cs="方正兰亭纤黑_GBK"/>
          <w:color w:val="000000"/>
          <w:sz w:val="17"/>
          <w:szCs w:val="17"/>
          <w:lang w:val="zh-CN" w:eastAsia="zh-CN"/>
        </w:rPr>
        <w:t>和生理等效温度</w:t>
      </w:r>
      <w:r>
        <w:rPr>
          <w:rFonts w:ascii="黑体" w:hAnsi="黑体" w:eastAsia="黑体" w:cs="方正兰亭纤黑_GBK"/>
          <w:color w:val="000000"/>
          <w:sz w:val="17"/>
          <w:szCs w:val="17"/>
          <w:lang w:val="zh-CN" w:eastAsia="zh-CN"/>
        </w:rPr>
        <w:t>(PET)3</w:t>
      </w:r>
      <w:r>
        <w:rPr>
          <w:rFonts w:hint="eastAsia" w:ascii="黑体" w:hAnsi="黑体" w:eastAsia="黑体" w:cs="方正兰亭纤黑_GBK"/>
          <w:color w:val="000000"/>
          <w:sz w:val="17"/>
          <w:szCs w:val="17"/>
          <w:lang w:val="zh-CN" w:eastAsia="zh-CN"/>
        </w:rPr>
        <w:t>个指标均基于人体能量平衡，但生理等效温度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更适用户外热舒适评估</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1.4  </w:t>
      </w:r>
      <w:r>
        <w:rPr>
          <w:rFonts w:hint="eastAsia" w:ascii="黑体" w:hAnsi="黑体" w:eastAsia="黑体" w:cs="方正兰亭准黑_GBK"/>
          <w:color w:val="000000"/>
          <w:sz w:val="17"/>
          <w:szCs w:val="17"/>
          <w:lang w:val="zh-CN" w:eastAsia="zh-CN"/>
        </w:rPr>
        <w:t>问卷调查</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受访者为自发在广场上进行休闲活动的人们，调研问卷包含受访者的基本信息、实时热感觉和热认知</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基本信息记录受访者的性别、年龄、身高、体重、衣着、活动状态、在外活动时间等；实时热感觉记录受访者总的热感觉、热舒适、热可接受度和热偏好，以及对各小气候因子的感知和偏好；热认知记录受访者对四季、广场各空间的舒适判定及来访原因和目的等内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热感觉投票</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非常冷、冷、微冷、凉、不冷不热、暖、微热、热、非常热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，热舒适投票</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非常不舒适、不舒适、舒适、非常舒适</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，热偏好投票</w:t>
      </w: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变冷、不变、变热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，各小气候因子的热感觉和热偏好分别使用</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点和</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2  </w:t>
      </w:r>
      <w:r>
        <w:rPr>
          <w:rFonts w:hint="eastAsia" w:ascii="黑体" w:hAnsi="黑体" w:eastAsia="黑体" w:cs="方正兰亭准黑_GBK"/>
          <w:color w:val="000000"/>
          <w:sz w:val="18"/>
          <w:szCs w:val="18"/>
          <w:lang w:val="zh-CN" w:eastAsia="zh-CN"/>
        </w:rPr>
        <w:t>结果</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2.1  </w:t>
      </w:r>
      <w:r>
        <w:rPr>
          <w:rFonts w:hint="eastAsia" w:ascii="黑体" w:hAnsi="黑体" w:eastAsia="黑体" w:cs="方正兰亭准黑_GBK"/>
          <w:color w:val="000000"/>
          <w:sz w:val="17"/>
          <w:szCs w:val="17"/>
          <w:lang w:val="zh-CN" w:eastAsia="zh-CN"/>
        </w:rPr>
        <w:t>各测点小气候情况</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个测试日中各测点小气候因子总体情况如下：空气温度范围</w:t>
      </w:r>
      <w:r>
        <w:rPr>
          <w:rFonts w:ascii="黑体" w:hAnsi="黑体" w:eastAsia="黑体" w:cs="方正兰亭纤黑_GBK"/>
          <w:color w:val="000000"/>
          <w:sz w:val="17"/>
          <w:szCs w:val="17"/>
          <w:lang w:val="zh-CN" w:eastAsia="zh-CN"/>
        </w:rPr>
        <w:t>1.7~36.8</w:t>
      </w:r>
      <w:r>
        <w:rPr>
          <w:rFonts w:hint="eastAsia" w:ascii="黑体" w:hAnsi="黑体" w:eastAsia="黑体" w:cs="方正兰亭纤黑_GBK"/>
          <w:color w:val="000000"/>
          <w:sz w:val="17"/>
          <w:szCs w:val="17"/>
          <w:lang w:val="zh-CN" w:eastAsia="zh-CN"/>
        </w:rPr>
        <w:t>℃，相对湿度范围</w:t>
      </w:r>
      <w:r>
        <w:rPr>
          <w:rFonts w:ascii="黑体" w:hAnsi="黑体" w:eastAsia="黑体" w:cs="方正兰亭纤黑_GBK"/>
          <w:color w:val="000000"/>
          <w:sz w:val="17"/>
          <w:szCs w:val="17"/>
          <w:lang w:val="zh-CN" w:eastAsia="zh-CN"/>
        </w:rPr>
        <w:t>30.4%~97.1%</w:t>
      </w:r>
      <w:r>
        <w:rPr>
          <w:rFonts w:hint="eastAsia" w:ascii="黑体" w:hAnsi="黑体" w:eastAsia="黑体" w:cs="方正兰亭纤黑_GBK"/>
          <w:color w:val="000000"/>
          <w:sz w:val="17"/>
          <w:szCs w:val="17"/>
          <w:lang w:val="zh-CN" w:eastAsia="zh-CN"/>
        </w:rPr>
        <w:t>，风速范围</w:t>
      </w:r>
      <w:r>
        <w:rPr>
          <w:rFonts w:ascii="黑体" w:hAnsi="黑体" w:eastAsia="黑体" w:cs="方正兰亭纤黑_GBK"/>
          <w:color w:val="000000"/>
          <w:sz w:val="17"/>
          <w:szCs w:val="17"/>
          <w:lang w:val="zh-CN" w:eastAsia="zh-CN"/>
        </w:rPr>
        <w:t>0~4.5m/s</w:t>
      </w:r>
      <w:r>
        <w:rPr>
          <w:rFonts w:hint="eastAsia" w:ascii="黑体" w:hAnsi="黑体" w:eastAsia="黑体" w:cs="方正兰亭纤黑_GBK"/>
          <w:color w:val="000000"/>
          <w:sz w:val="17"/>
          <w:szCs w:val="17"/>
          <w:lang w:val="zh-CN" w:eastAsia="zh-CN"/>
        </w:rPr>
        <w:t>，太阳辐射范围</w:t>
      </w:r>
      <w:r>
        <w:rPr>
          <w:rFonts w:ascii="黑体" w:hAnsi="黑体" w:eastAsia="黑体" w:cs="方正兰亭纤黑_GBK"/>
          <w:color w:val="000000"/>
          <w:sz w:val="17"/>
          <w:szCs w:val="17"/>
          <w:lang w:val="zh-CN" w:eastAsia="zh-CN"/>
        </w:rPr>
        <w:t>30~1 073wat/m2</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是夏秋冬各季节各测点空气温度、相对湿度、风速和太阳辐射</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种小气候因子逐时平均值变化图。总体上，各测点空气温度和相对湿度变化较为一致，差别较小；太阳辐射和风速差别较大。夏秋冬三季太阳辐射总趋势为广场区＞草坪区＞悬挑区，此趋势与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关系一致。冬季草坪区太阳辐射略高于广场区，原因在于草坪区更早获得日照；风速总趋势为悬挑区＞广场区＞草坪区，悬挑区由于产生了狭管效应，风速最大。</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suppressAutoHyphens/>
        <w:autoSpaceDE w:val="0"/>
        <w:autoSpaceDN w:val="0"/>
        <w:adjustRightInd w:val="0"/>
        <w:spacing w:line="288" w:lineRule="auto"/>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w:t>
      </w:r>
      <w:r>
        <w:rPr>
          <w:rFonts w:ascii="黑体" w:hAnsi="黑体" w:eastAsia="黑体" w:cs="方正兰亭中黑_GBK"/>
          <w:color w:val="000000"/>
          <w:sz w:val="14"/>
          <w:szCs w:val="14"/>
          <w:lang w:val="zh-CN" w:eastAsia="zh-CN"/>
        </w:rPr>
        <w:t>1</w:t>
      </w:r>
      <w:r>
        <w:rPr>
          <w:rFonts w:hint="eastAsia" w:ascii="黑体" w:hAnsi="黑体" w:eastAsia="黑体" w:cs="方正兰亭中黑_GBK"/>
          <w:color w:val="000000"/>
          <w:sz w:val="14"/>
          <w:szCs w:val="14"/>
          <w:lang w:val="en-US" w:eastAsia="zh-CN"/>
        </w:rPr>
        <w:t xml:space="preserve"> </w:t>
      </w:r>
      <w:r>
        <w:rPr>
          <w:rFonts w:hint="eastAsia" w:ascii="黑体" w:hAnsi="黑体" w:eastAsia="黑体" w:cs="方正兰亭中黑_GBK"/>
          <w:color w:val="000000"/>
          <w:sz w:val="14"/>
          <w:szCs w:val="14"/>
          <w:lang w:val="zh-CN" w:eastAsia="zh-CN"/>
        </w:rPr>
        <w:t>各测点空间形态基本情况</w:t>
      </w:r>
      <w:r>
        <w:rPr>
          <w:rFonts w:hint="eastAsia" w:ascii="黑体" w:hAnsi="黑体" w:eastAsia="黑体" w:cs="Times New Roman"/>
          <w:b/>
          <w:color w:val="C00000"/>
          <w:sz w:val="14"/>
          <w:szCs w:val="14"/>
          <w:lang w:eastAsia="zh-CN"/>
        </w:rPr>
        <w:t>（黑体-7点 行距9点）</w:t>
      </w:r>
    </w:p>
    <w:tbl>
      <w:tblPr>
        <w:tblStyle w:val="15"/>
        <w:tblW w:w="481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1337"/>
        <w:gridCol w:w="9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测点</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SVF</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H/D</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长边垂直界面方向</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开口方向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广场区</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0.612</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0.3</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北偏东</w:t>
            </w:r>
            <w:r>
              <w:rPr>
                <w:rFonts w:ascii="黑体" w:hAnsi="黑体" w:eastAsia="黑体" w:cs="方正中等线_GBK"/>
                <w:kern w:val="2"/>
                <w:sz w:val="14"/>
                <w:szCs w:val="14"/>
              </w:rPr>
              <w:t>60</w:t>
            </w:r>
            <w:r>
              <w:rPr>
                <w:rFonts w:hint="eastAsia" w:ascii="黑体" w:hAnsi="黑体" w:eastAsia="黑体" w:cs="方正中等线_GBK"/>
                <w:kern w:val="2"/>
                <w:sz w:val="14"/>
                <w:szCs w:val="14"/>
              </w:rPr>
              <w:t>°</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东北</w:t>
            </w:r>
            <w:r>
              <w:rPr>
                <w:rFonts w:ascii="黑体" w:hAnsi="黑体" w:eastAsia="黑体" w:cs="方正中等线_GBK"/>
                <w:kern w:val="2"/>
                <w:sz w:val="14"/>
                <w:szCs w:val="14"/>
              </w:rPr>
              <w:t>-</w:t>
            </w:r>
            <w:r>
              <w:rPr>
                <w:rFonts w:hint="eastAsia" w:ascii="黑体" w:hAnsi="黑体" w:eastAsia="黑体" w:cs="方正中等线_GBK"/>
                <w:kern w:val="2"/>
                <w:sz w:val="14"/>
                <w:szCs w:val="14"/>
              </w:rPr>
              <w:t>西南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悬挑区</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0.142</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0.6</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草坪区</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0.504</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0.6</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bl>
    <w:p>
      <w:pPr>
        <w:widowControl w:val="0"/>
        <w:suppressAutoHyphens/>
        <w:autoSpaceDE w:val="0"/>
        <w:autoSpaceDN w:val="0"/>
        <w:adjustRightInd w:val="0"/>
        <w:spacing w:line="288" w:lineRule="auto"/>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表内</w:t>
      </w:r>
      <w:r>
        <w:rPr>
          <w:rFonts w:ascii="黑体" w:hAnsi="黑体" w:eastAsia="黑体" w:cs="方正兰亭中黑_GBK"/>
          <w:color w:val="000000"/>
          <w:sz w:val="14"/>
          <w:szCs w:val="14"/>
          <w:lang w:val="zh-CN" w:eastAsia="zh-CN"/>
        </w:rPr>
        <w:t>文字</w:t>
      </w:r>
      <w:r>
        <w:rPr>
          <w:rFonts w:hint="eastAsia" w:ascii="黑体" w:hAnsi="黑体" w:eastAsia="黑体" w:cs="Times New Roman"/>
          <w:b/>
          <w:color w:val="C00000"/>
          <w:sz w:val="14"/>
          <w:szCs w:val="14"/>
          <w:lang w:eastAsia="zh-CN"/>
        </w:rPr>
        <w:t>（黑体-7点 行距12点）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2.2  </w:t>
      </w:r>
      <w:r>
        <w:rPr>
          <w:rFonts w:hint="eastAsia" w:ascii="黑体" w:hAnsi="黑体" w:eastAsia="黑体" w:cs="方正兰亭准黑_GBK"/>
          <w:color w:val="000000"/>
          <w:sz w:val="17"/>
          <w:szCs w:val="17"/>
          <w:lang w:val="zh-CN" w:eastAsia="zh-CN"/>
        </w:rPr>
        <w:t>问卷情况</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夏秋冬三季共获得</w:t>
      </w:r>
      <w:r>
        <w:rPr>
          <w:rFonts w:ascii="黑体" w:hAnsi="黑体" w:eastAsia="黑体" w:cs="方正兰亭纤黑_GBK"/>
          <w:color w:val="000000"/>
          <w:sz w:val="17"/>
          <w:szCs w:val="17"/>
          <w:lang w:val="zh-CN" w:eastAsia="zh-CN"/>
        </w:rPr>
        <w:t>870</w:t>
      </w:r>
      <w:r>
        <w:rPr>
          <w:rFonts w:hint="eastAsia" w:ascii="黑体" w:hAnsi="黑体" w:eastAsia="黑体" w:cs="方正兰亭纤黑_GBK"/>
          <w:color w:val="000000"/>
          <w:sz w:val="17"/>
          <w:szCs w:val="17"/>
          <w:lang w:val="zh-CN" w:eastAsia="zh-CN"/>
        </w:rPr>
        <w:t>份有效问卷。秋季问卷</w:t>
      </w:r>
      <w:r>
        <w:rPr>
          <w:rFonts w:ascii="黑体" w:hAnsi="黑体" w:eastAsia="黑体" w:cs="方正兰亭纤黑_GBK"/>
          <w:color w:val="000000"/>
          <w:sz w:val="17"/>
          <w:szCs w:val="17"/>
          <w:lang w:val="zh-CN" w:eastAsia="zh-CN"/>
        </w:rPr>
        <w:t>356</w:t>
      </w:r>
      <w:r>
        <w:rPr>
          <w:rFonts w:hint="eastAsia" w:ascii="黑体" w:hAnsi="黑体" w:eastAsia="黑体" w:cs="方正兰亭纤黑_GBK"/>
          <w:color w:val="000000"/>
          <w:sz w:val="17"/>
          <w:szCs w:val="17"/>
          <w:lang w:val="zh-CN" w:eastAsia="zh-CN"/>
        </w:rPr>
        <w:t>份，夏季问卷</w:t>
      </w:r>
      <w:r>
        <w:rPr>
          <w:rFonts w:ascii="黑体" w:hAnsi="黑体" w:eastAsia="黑体" w:cs="方正兰亭纤黑_GBK"/>
          <w:color w:val="000000"/>
          <w:sz w:val="17"/>
          <w:szCs w:val="17"/>
          <w:lang w:val="zh-CN" w:eastAsia="zh-CN"/>
        </w:rPr>
        <w:t>280</w:t>
      </w:r>
      <w:r>
        <w:rPr>
          <w:rFonts w:hint="eastAsia" w:ascii="黑体" w:hAnsi="黑体" w:eastAsia="黑体" w:cs="方正兰亭纤黑_GBK"/>
          <w:color w:val="000000"/>
          <w:sz w:val="17"/>
          <w:szCs w:val="17"/>
          <w:lang w:val="zh-CN" w:eastAsia="zh-CN"/>
        </w:rPr>
        <w:t>份，冬季问卷</w:t>
      </w:r>
      <w:r>
        <w:rPr>
          <w:rFonts w:ascii="黑体" w:hAnsi="黑体" w:eastAsia="黑体" w:cs="方正兰亭纤黑_GBK"/>
          <w:color w:val="000000"/>
          <w:sz w:val="17"/>
          <w:szCs w:val="17"/>
          <w:lang w:val="zh-CN" w:eastAsia="zh-CN"/>
        </w:rPr>
        <w:t>234</w:t>
      </w:r>
      <w:r>
        <w:rPr>
          <w:rFonts w:hint="eastAsia" w:ascii="黑体" w:hAnsi="黑体" w:eastAsia="黑体" w:cs="方正兰亭纤黑_GBK"/>
          <w:color w:val="000000"/>
          <w:sz w:val="17"/>
          <w:szCs w:val="17"/>
          <w:lang w:val="zh-CN" w:eastAsia="zh-CN"/>
        </w:rPr>
        <w:t>份问卷</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2.2.1  </w:t>
      </w:r>
      <w:r>
        <w:rPr>
          <w:rFonts w:hint="eastAsia" w:ascii="黑体" w:hAnsi="黑体" w:eastAsia="黑体" w:cs="方正兰亭纤黑_GBK"/>
          <w:color w:val="000000"/>
          <w:sz w:val="17"/>
          <w:szCs w:val="17"/>
          <w:lang w:val="zh-CN" w:eastAsia="zh-CN"/>
        </w:rPr>
        <w:t>热感觉、热舒适与热期望</w:t>
      </w:r>
      <w:r>
        <w:rPr>
          <w:rFonts w:hint="eastAsia" w:ascii="黑体" w:hAnsi="黑体" w:eastAsia="黑体" w:cs="Times New Roman"/>
          <w:b/>
          <w:color w:val="C00000"/>
          <w:sz w:val="17"/>
          <w:szCs w:val="17"/>
          <w:lang w:eastAsia="zh-CN"/>
        </w:rPr>
        <w:t>（黑体-8.5点 行距16点）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是夏秋冬三季热感觉分布情况。一半以上的人在秋冬两季均能获得中性热感觉，在夏季感觉微热至非常热</w:t>
      </w:r>
      <w:r>
        <w:rPr>
          <w:rFonts w:ascii="黑体" w:hAnsi="黑体" w:eastAsia="黑体" w:cs="方正兰亭纤黑_GBK"/>
          <w:color w:val="000000"/>
          <w:sz w:val="17"/>
          <w:szCs w:val="17"/>
          <w:lang w:val="zh-CN" w:eastAsia="zh-CN"/>
        </w:rPr>
        <w:t>(TSV=2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占比</w:t>
      </w:r>
      <w:r>
        <w:rPr>
          <w:rFonts w:ascii="黑体" w:hAnsi="黑体" w:eastAsia="黑体" w:cs="方正兰亭纤黑_GBK"/>
          <w:color w:val="000000"/>
          <w:sz w:val="17"/>
          <w:szCs w:val="17"/>
          <w:lang w:val="zh-CN" w:eastAsia="zh-CN"/>
        </w:rPr>
        <w:t>41.4%</w:t>
      </w:r>
      <w:r>
        <w:rPr>
          <w:rFonts w:hint="eastAsia" w:ascii="黑体" w:hAnsi="黑体" w:eastAsia="黑体" w:cs="方正兰亭纤黑_GBK"/>
          <w:color w:val="000000"/>
          <w:sz w:val="17"/>
          <w:szCs w:val="17"/>
          <w:lang w:val="zh-CN" w:eastAsia="zh-CN"/>
        </w:rPr>
        <w:t>，在冬季感觉到微冷和冷占比</w:t>
      </w:r>
      <w:r>
        <w:rPr>
          <w:rFonts w:ascii="黑体" w:hAnsi="黑体" w:eastAsia="黑体" w:cs="方正兰亭纤黑_GBK"/>
          <w:color w:val="000000"/>
          <w:sz w:val="17"/>
          <w:szCs w:val="17"/>
          <w:lang w:val="zh-CN" w:eastAsia="zh-CN"/>
        </w:rPr>
        <w:t>22.4%</w:t>
      </w:r>
      <w:r>
        <w:rPr>
          <w:rFonts w:hint="eastAsia" w:ascii="黑体" w:hAnsi="黑体" w:eastAsia="黑体" w:cs="方正兰亭纤黑_GBK"/>
          <w:color w:val="000000"/>
          <w:sz w:val="17"/>
          <w:szCs w:val="17"/>
          <w:lang w:val="zh-CN" w:eastAsia="zh-CN"/>
        </w:rPr>
        <w:t>。夏秋冬三季感知舒适和非常舒适的占比依次为</w:t>
      </w:r>
      <w:r>
        <w:rPr>
          <w:rFonts w:ascii="黑体" w:hAnsi="黑体" w:eastAsia="黑体" w:cs="方正兰亭纤黑_GBK"/>
          <w:color w:val="000000"/>
          <w:sz w:val="17"/>
          <w:szCs w:val="17"/>
          <w:lang w:val="zh-CN" w:eastAsia="zh-CN"/>
        </w:rPr>
        <w:t>84.7%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91.6%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76.5%</w:t>
      </w:r>
      <w:r>
        <w:rPr>
          <w:rFonts w:hint="eastAsia" w:ascii="黑体" w:hAnsi="黑体" w:eastAsia="黑体" w:cs="方正兰亭纤黑_GBK"/>
          <w:color w:val="000000"/>
          <w:sz w:val="17"/>
          <w:szCs w:val="17"/>
          <w:lang w:val="zh-CN" w:eastAsia="zh-CN"/>
        </w:rPr>
        <w:t>，秋季最高，冬季最低。夏季，</w:t>
      </w:r>
      <w:r>
        <w:rPr>
          <w:rFonts w:ascii="黑体" w:hAnsi="黑体" w:eastAsia="黑体" w:cs="方正兰亭纤黑_GBK"/>
          <w:color w:val="000000"/>
          <w:sz w:val="17"/>
          <w:szCs w:val="17"/>
          <w:lang w:val="zh-CN" w:eastAsia="zh-CN"/>
        </w:rPr>
        <w:t>62.9%</w:t>
      </w:r>
      <w:r>
        <w:rPr>
          <w:rFonts w:hint="eastAsia" w:ascii="黑体" w:hAnsi="黑体" w:eastAsia="黑体" w:cs="方正兰亭纤黑_GBK"/>
          <w:color w:val="000000"/>
          <w:sz w:val="17"/>
          <w:szCs w:val="17"/>
          <w:lang w:val="zh-CN" w:eastAsia="zh-CN"/>
        </w:rPr>
        <w:t>的人期望更加凉爽，冬季，</w:t>
      </w:r>
      <w:r>
        <w:rPr>
          <w:rFonts w:ascii="黑体" w:hAnsi="黑体" w:eastAsia="黑体" w:cs="方正兰亭纤黑_GBK"/>
          <w:color w:val="000000"/>
          <w:sz w:val="17"/>
          <w:szCs w:val="17"/>
          <w:lang w:val="zh-CN" w:eastAsia="zh-CN"/>
        </w:rPr>
        <w:t>59.8%</w:t>
      </w:r>
      <w:r>
        <w:rPr>
          <w:rFonts w:hint="eastAsia" w:ascii="黑体" w:hAnsi="黑体" w:eastAsia="黑体" w:cs="方正兰亭纤黑_GBK"/>
          <w:color w:val="000000"/>
          <w:sz w:val="17"/>
          <w:szCs w:val="17"/>
          <w:lang w:val="zh-CN" w:eastAsia="zh-CN"/>
        </w:rPr>
        <w:t>的人期望更加温暖。</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为了揭示人们在夏冬两季热感觉和热舒适的不对应性，本研究进一步分析热感觉和热舒适值之间的关系。图</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显示了夏秋冬三季每一级热感觉所对应的热舒适投票平均值，其二项式如下：</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=-0.191TSV2+0.121TSV+1.093(R2=0.989)</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=-0.166TSV2+0.138TSV+1.19(R2=0.962)</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=-0.081TSV2+0.331TSV+0.791(R2=0.927)</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热感觉与热舒适的关系随着季节发生变化：夏季，当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0.32</w:t>
      </w:r>
      <w:r>
        <w:rPr>
          <w:rFonts w:hint="eastAsia" w:ascii="黑体" w:hAnsi="黑体" w:eastAsia="黑体" w:cs="方正兰亭纤黑_GBK"/>
          <w:color w:val="000000"/>
          <w:sz w:val="17"/>
          <w:szCs w:val="17"/>
          <w:lang w:val="zh-CN" w:eastAsia="zh-CN"/>
        </w:rPr>
        <w:t>时，人们感觉最为舒适；秋季，当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0.42</w:t>
      </w:r>
      <w:r>
        <w:rPr>
          <w:rFonts w:hint="eastAsia" w:ascii="黑体" w:hAnsi="黑体" w:eastAsia="黑体" w:cs="方正兰亭纤黑_GBK"/>
          <w:color w:val="000000"/>
          <w:sz w:val="17"/>
          <w:szCs w:val="17"/>
          <w:lang w:val="zh-CN" w:eastAsia="zh-CN"/>
        </w:rPr>
        <w:t>时，人们感觉最为舒适；冬季，当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2.04</w:t>
      </w:r>
      <w:r>
        <w:rPr>
          <w:rFonts w:hint="eastAsia" w:ascii="黑体" w:hAnsi="黑体" w:eastAsia="黑体" w:cs="方正兰亭纤黑_GBK"/>
          <w:color w:val="000000"/>
          <w:sz w:val="17"/>
          <w:szCs w:val="17"/>
          <w:lang w:val="zh-CN" w:eastAsia="zh-CN"/>
        </w:rPr>
        <w:t>时，人们感觉最为舒适。</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同样的方法被用来揭示热偏好投票与热感觉之间的关系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，所得一元回归方程如下：</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=-0.192TSV-0.330(R2=0.725)</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=-0.288TSV+0.250(R2=0.836)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=-0.252TSV+0.362(R2=0.885)</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夏秋冬三季人们偏好不变时所对应的热感觉分别为</w:t>
      </w:r>
      <w:r>
        <w:rPr>
          <w:rFonts w:ascii="黑体" w:hAnsi="黑体" w:eastAsia="黑体" w:cs="方正兰亭纤黑_GBK"/>
          <w:color w:val="000000"/>
          <w:sz w:val="17"/>
          <w:szCs w:val="17"/>
          <w:lang w:val="zh-CN" w:eastAsia="zh-CN"/>
        </w:rPr>
        <w:t>-1.72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0.87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1.44</w:t>
      </w:r>
      <w:r>
        <w:rPr>
          <w:rFonts w:hint="eastAsia" w:ascii="黑体" w:hAnsi="黑体" w:eastAsia="黑体" w:cs="方正兰亭纤黑_GBK"/>
          <w:color w:val="000000"/>
          <w:sz w:val="17"/>
          <w:szCs w:val="17"/>
          <w:lang w:val="zh-CN" w:eastAsia="zh-CN"/>
        </w:rPr>
        <w:t>，人们在夏季期望更加凉爽，在秋冬两季期望更加温暖。</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r>
        <w:rPr>
          <w:rFonts w:hint="eastAsia" w:ascii="黑体" w:hAnsi="黑体" w:eastAsia="黑体" w:cs="方正兰亭纤黑_GBK"/>
          <w:color w:val="000000"/>
          <w:sz w:val="17"/>
          <w:szCs w:val="17"/>
          <w:lang w:val="zh-CN" w:eastAsia="zh-CN"/>
        </w:rPr>
        <w:t>使用斯皮尔曼等级相关分析法进一步揭示热感觉、热舒适和热期望与小气候要素及</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之间的关系。空气温度、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与热感觉和热舒适显著正相关，与热期望显著负相关，热舒适与空气温度和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的相关系数较低</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2.2.2  </w:t>
      </w:r>
      <w:r>
        <w:rPr>
          <w:rFonts w:hint="eastAsia" w:ascii="黑体" w:hAnsi="黑体" w:eastAsia="黑体" w:cs="方正兰亭纤黑_GBK"/>
          <w:color w:val="000000"/>
          <w:sz w:val="17"/>
          <w:szCs w:val="17"/>
          <w:lang w:val="zh-CN" w:eastAsia="zh-CN"/>
        </w:rPr>
        <w:t>热中性温度与热舒适范围</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由于热感觉与热舒适随着季节变化而变化，按季节计算热中性温度和舒适范围变得十分必要。使用</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作为客观评价指标，首先计算每一度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对应的热感觉均值，从而计算热中性温度和热中性范围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=0.085PET-1.667(R2=0.750)</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=0.048PET-1.084(R2=0.606)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=0.070PET-1.649(R2=0.766)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时，夏秋冬各季对应的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对应的中性范围分别为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使用同样方法计算每一度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对应的热舒适范围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，夏秋冬各季最为舒适时对应的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值分别为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时对应的舒适范围分别为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hint="eastAsia" w:ascii="黑体" w:hAnsi="黑体" w:eastAsia="黑体" w:cs="方正兰亭准黑简体"/>
          <w:color w:val="000000" w:themeColor="text1"/>
          <w:sz w:val="17"/>
          <w:szCs w:val="17"/>
          <w:lang w:val="zh-CN" w:eastAsia="zh-CN"/>
          <w14:textFill>
            <w14:solidFill>
              <w14:schemeClr w14:val="tx1"/>
            </w14:solidFill>
          </w14:textFill>
        </w:rPr>
        <w:t>②</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=-0.002PET2+0.070PET+0.421(R2=0.746)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=-0.004PET2+0.183PET-0.753(R2=0.788)</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=-0.002PET2+0.12PET-0.709(R2=0.676)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为了便于与国歌广场所获得的数据进行比较，本研究计算了夏秋冬三季平均热感觉、平均热舒适与生理等效温度之间的关系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=0.078PET-1.626(R2=0.915)</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=-0.003PET2+0.143PET-0.574(R2=0.816)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时，热中性值为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时，热中性范围为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℃时，人们最为舒适，当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时，对应的热舒适范围为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2.2.3  </w:t>
      </w:r>
      <w:r>
        <w:rPr>
          <w:rFonts w:hint="eastAsia" w:ascii="黑体" w:hAnsi="黑体" w:eastAsia="黑体" w:cs="方正兰亭纤黑_GBK"/>
          <w:color w:val="000000"/>
          <w:sz w:val="17"/>
          <w:szCs w:val="17"/>
          <w:lang w:val="zh-CN" w:eastAsia="zh-CN"/>
        </w:rPr>
        <w:t>小气候要素数感知与偏好</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夏季</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以上的访问发生在悬挑区，秋冬两季，</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以上的访问发生在广场区。图</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是夏秋冬三季小气候要素感知占比。在夏季，感知温度适中的人占比为</w:t>
      </w:r>
      <w:r>
        <w:rPr>
          <w:rFonts w:ascii="黑体" w:hAnsi="黑体" w:eastAsia="黑体" w:cs="方正兰亭纤黑_GBK"/>
          <w:color w:val="000000"/>
          <w:sz w:val="17"/>
          <w:szCs w:val="17"/>
          <w:lang w:val="zh-CN" w:eastAsia="zh-CN"/>
        </w:rPr>
        <w:t>65%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34.7%</w:t>
      </w:r>
      <w:r>
        <w:rPr>
          <w:rFonts w:hint="eastAsia" w:ascii="黑体" w:hAnsi="黑体" w:eastAsia="黑体" w:cs="方正兰亭纤黑_GBK"/>
          <w:color w:val="000000"/>
          <w:sz w:val="17"/>
          <w:szCs w:val="17"/>
          <w:lang w:val="zh-CN" w:eastAsia="zh-CN"/>
        </w:rPr>
        <w:t>的人认为空气温度高，感知湿度和风速适中的人占比分别为</w:t>
      </w:r>
      <w:r>
        <w:rPr>
          <w:rFonts w:ascii="黑体" w:hAnsi="黑体" w:eastAsia="黑体" w:cs="方正兰亭纤黑_GBK"/>
          <w:color w:val="000000"/>
          <w:sz w:val="17"/>
          <w:szCs w:val="17"/>
          <w:lang w:val="zh-CN" w:eastAsia="zh-CN"/>
        </w:rPr>
        <w:t>77.1%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60.4%</w:t>
      </w:r>
      <w:r>
        <w:rPr>
          <w:rFonts w:hint="eastAsia" w:ascii="黑体" w:hAnsi="黑体" w:eastAsia="黑体" w:cs="方正兰亭纤黑_GBK"/>
          <w:color w:val="000000"/>
          <w:sz w:val="17"/>
          <w:szCs w:val="17"/>
          <w:lang w:val="zh-CN" w:eastAsia="zh-CN"/>
        </w:rPr>
        <w:t>，感知日照适中的占比为</w:t>
      </w:r>
      <w:r>
        <w:rPr>
          <w:rFonts w:ascii="黑体" w:hAnsi="黑体" w:eastAsia="黑体" w:cs="方正兰亭纤黑_GBK"/>
          <w:color w:val="000000"/>
          <w:sz w:val="17"/>
          <w:szCs w:val="17"/>
          <w:lang w:val="zh-CN" w:eastAsia="zh-CN"/>
        </w:rPr>
        <w:t>36.1%</w:t>
      </w:r>
      <w:r>
        <w:rPr>
          <w:rFonts w:hint="eastAsia" w:ascii="黑体" w:hAnsi="黑体" w:eastAsia="黑体" w:cs="方正兰亭纤黑_GBK"/>
          <w:color w:val="000000"/>
          <w:sz w:val="17"/>
          <w:szCs w:val="17"/>
          <w:lang w:val="zh-CN" w:eastAsia="zh-CN"/>
        </w:rPr>
        <w:t>，有</w:t>
      </w:r>
      <w:r>
        <w:rPr>
          <w:rFonts w:ascii="黑体" w:hAnsi="黑体" w:eastAsia="黑体" w:cs="方正兰亭纤黑_GBK"/>
          <w:color w:val="000000"/>
          <w:sz w:val="17"/>
          <w:szCs w:val="17"/>
          <w:lang w:val="zh-CN" w:eastAsia="zh-CN"/>
        </w:rPr>
        <w:t>47.2%</w:t>
      </w:r>
      <w:r>
        <w:rPr>
          <w:rFonts w:hint="eastAsia" w:ascii="黑体" w:hAnsi="黑体" w:eastAsia="黑体" w:cs="方正兰亭纤黑_GBK"/>
          <w:color w:val="000000"/>
          <w:sz w:val="17"/>
          <w:szCs w:val="17"/>
          <w:lang w:val="zh-CN" w:eastAsia="zh-CN"/>
        </w:rPr>
        <w:t>的人认为日照低；在秋季，感知温度和湿度为适中的人占比最大，分别为</w:t>
      </w:r>
      <w:r>
        <w:rPr>
          <w:rFonts w:ascii="黑体" w:hAnsi="黑体" w:eastAsia="黑体" w:cs="方正兰亭纤黑_GBK"/>
          <w:color w:val="000000"/>
          <w:sz w:val="17"/>
          <w:szCs w:val="17"/>
          <w:lang w:val="zh-CN" w:eastAsia="zh-CN"/>
        </w:rPr>
        <w:t>69.1%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68.5%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67.8%</w:t>
      </w:r>
      <w:r>
        <w:rPr>
          <w:rFonts w:hint="eastAsia" w:ascii="黑体" w:hAnsi="黑体" w:eastAsia="黑体" w:cs="方正兰亭纤黑_GBK"/>
          <w:color w:val="000000"/>
          <w:sz w:val="17"/>
          <w:szCs w:val="17"/>
          <w:lang w:val="zh-CN" w:eastAsia="zh-CN"/>
        </w:rPr>
        <w:t>的人感知风速低，</w:t>
      </w:r>
      <w:r>
        <w:rPr>
          <w:rFonts w:ascii="黑体" w:hAnsi="黑体" w:eastAsia="黑体" w:cs="方正兰亭纤黑_GBK"/>
          <w:color w:val="000000"/>
          <w:sz w:val="17"/>
          <w:szCs w:val="17"/>
          <w:lang w:val="zh-CN" w:eastAsia="zh-CN"/>
        </w:rPr>
        <w:t>42.7%</w:t>
      </w:r>
      <w:r>
        <w:rPr>
          <w:rFonts w:hint="eastAsia" w:ascii="黑体" w:hAnsi="黑体" w:eastAsia="黑体" w:cs="方正兰亭纤黑_GBK"/>
          <w:color w:val="000000"/>
          <w:sz w:val="17"/>
          <w:szCs w:val="17"/>
          <w:lang w:val="zh-CN" w:eastAsia="zh-CN"/>
        </w:rPr>
        <w:t>的人感知日照低；冬季，温度与日照感知较为一致，感知适中的占比分别为</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54.3%</w:t>
      </w:r>
      <w:r>
        <w:rPr>
          <w:rFonts w:hint="eastAsia" w:ascii="黑体" w:hAnsi="黑体" w:eastAsia="黑体" w:cs="方正兰亭纤黑_GBK"/>
          <w:color w:val="000000"/>
          <w:sz w:val="17"/>
          <w:szCs w:val="17"/>
          <w:lang w:val="zh-CN" w:eastAsia="zh-CN"/>
        </w:rPr>
        <w:t>，感知低的占比分别为</w:t>
      </w:r>
      <w:r>
        <w:rPr>
          <w:rFonts w:ascii="黑体" w:hAnsi="黑体" w:eastAsia="黑体" w:cs="方正兰亭纤黑_GBK"/>
          <w:color w:val="000000"/>
          <w:sz w:val="17"/>
          <w:szCs w:val="17"/>
          <w:lang w:val="zh-CN" w:eastAsia="zh-CN"/>
        </w:rPr>
        <w:t>46.6%</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；风速和湿度的感知以适中居多，分别为</w:t>
      </w:r>
      <w:r>
        <w:rPr>
          <w:rFonts w:ascii="黑体" w:hAnsi="黑体" w:eastAsia="黑体" w:cs="方正兰亭纤黑_GBK"/>
          <w:color w:val="000000"/>
          <w:sz w:val="17"/>
          <w:szCs w:val="17"/>
          <w:lang w:val="zh-CN" w:eastAsia="zh-CN"/>
        </w:rPr>
        <w:t>95.3%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71.8%</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eastAsia="zh-CN"/>
        </w:rPr>
        <w:drawing>
          <wp:inline distT="0" distB="0" distL="0" distR="0">
            <wp:extent cx="2922905" cy="17570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905" cy="1757045"/>
                    </a:xfrm>
                    <a:prstGeom prst="rect">
                      <a:avLst/>
                    </a:prstGeom>
                  </pic:spPr>
                </pic:pic>
              </a:graphicData>
            </a:graphic>
          </wp:inline>
        </w:drawing>
      </w: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3"/>
          <w:szCs w:val="13"/>
          <w:lang w:val="zh-CN" w:eastAsia="zh-CN"/>
        </w:rPr>
        <w:t>图</w:t>
      </w:r>
      <w:r>
        <w:rPr>
          <w:rFonts w:ascii="黑体" w:hAnsi="黑体" w:eastAsia="黑体" w:cs="方正兰亭纤黑_GBK"/>
          <w:color w:val="000000"/>
          <w:sz w:val="13"/>
          <w:szCs w:val="13"/>
          <w:lang w:val="zh-CN" w:eastAsia="zh-CN"/>
        </w:rPr>
        <w:t xml:space="preserve">3  </w:t>
      </w:r>
      <w:r>
        <w:rPr>
          <w:rFonts w:hint="eastAsia" w:ascii="黑体" w:hAnsi="黑体" w:eastAsia="黑体" w:cs="方正兰亭纤黑_GBK"/>
          <w:color w:val="000000"/>
          <w:sz w:val="13"/>
          <w:szCs w:val="13"/>
          <w:lang w:val="zh-CN" w:eastAsia="zh-CN"/>
        </w:rPr>
        <w:t>夏秋冬测试日空气温度均值</w:t>
      </w:r>
      <w:r>
        <w:rPr>
          <w:rFonts w:hint="eastAsia" w:ascii="黑体" w:hAnsi="黑体" w:eastAsia="黑体" w:cs="Times New Roman"/>
          <w:b/>
          <w:color w:val="C00000"/>
          <w:sz w:val="14"/>
          <w:szCs w:val="14"/>
          <w:lang w:eastAsia="zh-CN"/>
        </w:rPr>
        <w:t>（黑体-6.5点 行距9点）</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是</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个季节人们对小气候要素偏爱占比情况。夏季，人们期望温度、湿度和日照均降低，占比分别为</w:t>
      </w:r>
      <w:r>
        <w:rPr>
          <w:rFonts w:ascii="黑体" w:hAnsi="黑体" w:eastAsia="黑体" w:cs="方正兰亭纤黑_GBK"/>
          <w:color w:val="000000"/>
          <w:sz w:val="17"/>
          <w:szCs w:val="17"/>
          <w:lang w:val="zh-CN" w:eastAsia="zh-CN"/>
        </w:rPr>
        <w:t>69.3%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25.7%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37.9%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41.1%</w:t>
      </w:r>
      <w:r>
        <w:rPr>
          <w:rFonts w:hint="eastAsia" w:ascii="黑体" w:hAnsi="黑体" w:eastAsia="黑体" w:cs="方正兰亭纤黑_GBK"/>
          <w:color w:val="000000"/>
          <w:sz w:val="17"/>
          <w:szCs w:val="17"/>
          <w:lang w:val="zh-CN" w:eastAsia="zh-CN"/>
        </w:rPr>
        <w:t>的人期望风速升高；秋季，对温度、湿度、风速和日照期望不变的占比均超过</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，期望温度、日照升高的占比均为</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；冬季，期望温度和日照升高的人分布为</w:t>
      </w:r>
      <w:r>
        <w:rPr>
          <w:rFonts w:ascii="黑体" w:hAnsi="黑体" w:eastAsia="黑体" w:cs="方正兰亭纤黑_GBK"/>
          <w:color w:val="000000"/>
          <w:sz w:val="17"/>
          <w:szCs w:val="17"/>
          <w:lang w:val="zh-CN" w:eastAsia="zh-CN"/>
        </w:rPr>
        <w:t>57.3%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59.4%</w:t>
      </w:r>
      <w:r>
        <w:rPr>
          <w:rFonts w:hint="eastAsia" w:ascii="黑体" w:hAnsi="黑体" w:eastAsia="黑体" w:cs="方正兰亭纤黑_GBK"/>
          <w:color w:val="000000"/>
          <w:sz w:val="17"/>
          <w:szCs w:val="17"/>
          <w:lang w:val="zh-CN" w:eastAsia="zh-CN"/>
        </w:rPr>
        <w:t>，期望风速降低的人为</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84.2%</w:t>
      </w:r>
      <w:r>
        <w:rPr>
          <w:rFonts w:hint="eastAsia" w:ascii="黑体" w:hAnsi="黑体" w:eastAsia="黑体" w:cs="方正兰亭纤黑_GBK"/>
          <w:color w:val="000000"/>
          <w:sz w:val="17"/>
          <w:szCs w:val="17"/>
          <w:lang w:val="zh-CN" w:eastAsia="zh-CN"/>
        </w:rPr>
        <w:t>的人期望湿度不变。</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个季节中，大多数人都期望湿度不变；人们在夏季期望更低的温度、日照和更高的风速，冬季则刚好相反。</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使用斯皮尔曼等级相关分析法进一步揭示小气候偏好与小气候要素值之间的关系如下：温度偏好、风速偏好和日照偏好受空气温度影响显著。</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2.2.4  </w:t>
      </w:r>
      <w:r>
        <w:rPr>
          <w:rFonts w:hint="eastAsia" w:ascii="黑体" w:hAnsi="黑体" w:eastAsia="黑体" w:cs="方正兰亭纤黑_GBK"/>
          <w:color w:val="000000"/>
          <w:sz w:val="17"/>
          <w:szCs w:val="17"/>
          <w:lang w:val="zh-CN" w:eastAsia="zh-CN"/>
        </w:rPr>
        <w:t>热认知情况</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对四季不舒适的投票占比中，夏季超过</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，冬季</w:t>
      </w:r>
      <w:r>
        <w:rPr>
          <w:rFonts w:ascii="黑体" w:hAnsi="黑体" w:eastAsia="黑体" w:cs="方正兰亭纤黑_GBK"/>
          <w:color w:val="000000"/>
          <w:sz w:val="17"/>
          <w:szCs w:val="17"/>
          <w:lang w:val="zh-CN" w:eastAsia="zh-CN"/>
        </w:rPr>
        <w:t>50%</w:t>
      </w:r>
      <w:r>
        <w:rPr>
          <w:rFonts w:hint="eastAsia" w:ascii="黑体" w:hAnsi="黑体" w:eastAsia="黑体" w:cs="方正兰亭纤黑_GBK"/>
          <w:color w:val="000000"/>
          <w:sz w:val="17"/>
          <w:szCs w:val="17"/>
          <w:lang w:val="zh-CN" w:eastAsia="zh-CN"/>
        </w:rPr>
        <w:t>，夏秋各</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；在夏季超过</w:t>
      </w:r>
      <w:r>
        <w:rPr>
          <w:rFonts w:ascii="黑体" w:hAnsi="黑体" w:eastAsia="黑体" w:cs="方正兰亭纤黑_GBK"/>
          <w:color w:val="000000"/>
          <w:sz w:val="17"/>
          <w:szCs w:val="17"/>
          <w:lang w:val="zh-CN" w:eastAsia="zh-CN"/>
        </w:rPr>
        <w:t>70%</w:t>
      </w:r>
      <w:r>
        <w:rPr>
          <w:rFonts w:hint="eastAsia" w:ascii="黑体" w:hAnsi="黑体" w:eastAsia="黑体" w:cs="方正兰亭纤黑_GBK"/>
          <w:color w:val="000000"/>
          <w:sz w:val="17"/>
          <w:szCs w:val="17"/>
          <w:lang w:val="zh-CN" w:eastAsia="zh-CN"/>
        </w:rPr>
        <w:t>的认为广场区不舒适，秋冬两季超过</w:t>
      </w:r>
      <w:r>
        <w:rPr>
          <w:rFonts w:ascii="黑体" w:hAnsi="黑体" w:eastAsia="黑体" w:cs="方正兰亭纤黑_GBK"/>
          <w:color w:val="000000"/>
          <w:sz w:val="17"/>
          <w:szCs w:val="17"/>
          <w:lang w:val="zh-CN" w:eastAsia="zh-CN"/>
        </w:rPr>
        <w:t>80%</w:t>
      </w:r>
      <w:r>
        <w:rPr>
          <w:rFonts w:hint="eastAsia" w:ascii="黑体" w:hAnsi="黑体" w:eastAsia="黑体" w:cs="方正兰亭纤黑_GBK"/>
          <w:color w:val="000000"/>
          <w:sz w:val="17"/>
          <w:szCs w:val="17"/>
          <w:lang w:val="zh-CN" w:eastAsia="zh-CN"/>
        </w:rPr>
        <w:t>的人认为悬挑区不舒适，前者是因为暴晒，后者是由于无阳光和风大；</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个季节中人们对草坪区的舒适认知均比较低，仅</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。如图</w:t>
      </w:r>
      <w:r>
        <w:rPr>
          <w:rFonts w:ascii="黑体" w:hAnsi="黑体" w:eastAsia="黑体" w:cs="方正兰亭纤黑_GBK"/>
          <w:color w:val="000000"/>
          <w:sz w:val="17"/>
          <w:szCs w:val="17"/>
          <w:lang w:val="zh-CN" w:eastAsia="zh-CN"/>
        </w:rPr>
        <w:t>15</w:t>
      </w:r>
      <w:r>
        <w:rPr>
          <w:rFonts w:hint="eastAsia" w:ascii="黑体" w:hAnsi="黑体" w:eastAsia="黑体" w:cs="方正兰亭纤黑_GBK"/>
          <w:color w:val="000000"/>
          <w:sz w:val="17"/>
          <w:szCs w:val="17"/>
          <w:lang w:val="zh-CN" w:eastAsia="zh-CN"/>
        </w:rPr>
        <w:t>所示，开阔、热舒适、离家近是人们来此广场的主要原因，在夏季，热舒适占比最高；在秋冬两季，开阔占比最高。</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2.3  </w:t>
      </w:r>
      <w:r>
        <w:rPr>
          <w:rFonts w:hint="eastAsia" w:ascii="黑体" w:hAnsi="黑体" w:eastAsia="黑体" w:cs="方正兰亭准黑_GBK"/>
          <w:color w:val="000000"/>
          <w:sz w:val="17"/>
          <w:szCs w:val="17"/>
          <w:lang w:val="zh-CN" w:eastAsia="zh-CN"/>
        </w:rPr>
        <w:t>场地舒适空间评估</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将</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个空间在夏、秋、冬各季的生理等角温度均值与各季节热舒适范围相比较，如图</w:t>
      </w:r>
      <w:r>
        <w:rPr>
          <w:rFonts w:ascii="黑体" w:hAnsi="黑体" w:eastAsia="黑体" w:cs="方正兰亭纤黑_GBK"/>
          <w:color w:val="000000"/>
          <w:sz w:val="17"/>
          <w:szCs w:val="17"/>
          <w:lang w:val="zh-CN" w:eastAsia="zh-CN"/>
        </w:rPr>
        <w:t>16</w:t>
      </w:r>
      <w:r>
        <w:rPr>
          <w:rFonts w:hint="eastAsia" w:ascii="黑体" w:hAnsi="黑体" w:eastAsia="黑体" w:cs="方正兰亭纤黑_GBK"/>
          <w:color w:val="000000"/>
          <w:sz w:val="17"/>
          <w:szCs w:val="17"/>
          <w:lang w:val="zh-CN" w:eastAsia="zh-CN"/>
        </w:rPr>
        <w:t>所示，在夏季，</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个空间的生理等效温度均高于舒适上限，悬挑区最靠近舒适范围；秋季，悬挑区在舒适范围之外，广场区、草坪区对应舒适时间占比分别为</w:t>
      </w:r>
      <w:r>
        <w:rPr>
          <w:rFonts w:ascii="黑体" w:hAnsi="黑体" w:eastAsia="黑体" w:cs="方正兰亭纤黑_GBK"/>
          <w:color w:val="000000"/>
          <w:sz w:val="17"/>
          <w:szCs w:val="17"/>
          <w:lang w:val="zh-CN" w:eastAsia="zh-CN"/>
        </w:rPr>
        <w:t>65.7%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76.6%</w:t>
      </w:r>
      <w:r>
        <w:rPr>
          <w:rFonts w:hint="eastAsia" w:ascii="黑体" w:hAnsi="黑体" w:eastAsia="黑体" w:cs="方正兰亭纤黑_GBK"/>
          <w:color w:val="000000"/>
          <w:sz w:val="17"/>
          <w:szCs w:val="17"/>
          <w:lang w:val="zh-CN" w:eastAsia="zh-CN"/>
        </w:rPr>
        <w:t>；冬季，只有草坪区在正午能够达到舒适范围。</w:t>
      </w:r>
      <w:r>
        <w:rPr>
          <w:rFonts w:ascii="黑体" w:hAnsi="黑体" w:eastAsia="黑体" w:cs="方正兰亭纤黑_GBK"/>
          <w:color w:val="000000"/>
          <w:sz w:val="17"/>
          <w:szCs w:val="17"/>
          <w:lang w:val="zh-CN" w:eastAsia="zh-CN"/>
        </w:rPr>
        <w:t xml:space="preserve"> </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p>
    <w:p>
      <w:pPr>
        <w:widowControl w:val="0"/>
        <w:autoSpaceDE w:val="0"/>
        <w:autoSpaceDN w:val="0"/>
        <w:adjustRightInd w:val="0"/>
        <w:spacing w:line="320" w:lineRule="atLeas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3  </w:t>
      </w:r>
      <w:r>
        <w:rPr>
          <w:rFonts w:hint="eastAsia" w:ascii="黑体" w:hAnsi="黑体" w:eastAsia="黑体" w:cs="方正兰亭准黑_GBK"/>
          <w:color w:val="000000"/>
          <w:sz w:val="18"/>
          <w:szCs w:val="18"/>
          <w:lang w:val="zh-CN" w:eastAsia="zh-CN"/>
        </w:rPr>
        <w:t>讨论</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3.1  </w:t>
      </w:r>
      <w:r>
        <w:rPr>
          <w:rFonts w:hint="eastAsia" w:ascii="黑体" w:hAnsi="黑体" w:eastAsia="黑体" w:cs="方正兰亭准黑_GBK"/>
          <w:color w:val="000000"/>
          <w:sz w:val="17"/>
          <w:szCs w:val="17"/>
          <w:lang w:val="zh-CN" w:eastAsia="zh-CN"/>
        </w:rPr>
        <w:t>广场形态与热环境</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等形态因子对城市热环境影响显著</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。在本研究中，</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个测点的空气温度和相对湿度在各季节变化较为一致且差异不明显，这与课题组使用计算机模拟结果较为一致，模拟发现广场高宽比及朝向对空气温度和相对湿度无明显影响，对风影响显著</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广场各测点风环境比较复杂，悬挑区有较大的风速主要原因可能是“狭管”效应，悬挑上方建筑物的遮挡，使得下方局部风速增大；广场区的风速大于草坪区可能是由于广场区更低的高宽比产生了“风扫”效应；悬挑区的太阳辐射受</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影响显著，广场区与草坪区的太阳辐射差异较小的原因可能在于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与太阳辐射的关联度，有学者通过计算机模拟发现，当</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值从</w:t>
      </w:r>
      <w:r>
        <w:rPr>
          <w:rFonts w:ascii="黑体" w:hAnsi="黑体" w:eastAsia="黑体" w:cs="方正兰亭纤黑_GBK"/>
          <w:color w:val="000000"/>
          <w:sz w:val="17"/>
          <w:szCs w:val="17"/>
          <w:lang w:val="zh-CN" w:eastAsia="zh-CN"/>
        </w:rPr>
        <w:t>0.1</w:t>
      </w:r>
      <w:r>
        <w:rPr>
          <w:rFonts w:hint="eastAsia" w:ascii="黑体" w:hAnsi="黑体" w:eastAsia="黑体" w:cs="方正兰亭纤黑_GBK"/>
          <w:color w:val="000000"/>
          <w:sz w:val="17"/>
          <w:szCs w:val="17"/>
          <w:lang w:val="zh-CN" w:eastAsia="zh-CN"/>
        </w:rPr>
        <w:t>逐渐增大到</w:t>
      </w:r>
      <w:r>
        <w:rPr>
          <w:rFonts w:ascii="黑体" w:hAnsi="黑体" w:eastAsia="黑体" w:cs="方正兰亭纤黑_GBK"/>
          <w:color w:val="000000"/>
          <w:sz w:val="17"/>
          <w:szCs w:val="17"/>
          <w:lang w:val="zh-CN" w:eastAsia="zh-CN"/>
        </w:rPr>
        <w:t>0.5</w:t>
      </w:r>
      <w:r>
        <w:rPr>
          <w:rFonts w:hint="eastAsia" w:ascii="黑体" w:hAnsi="黑体" w:eastAsia="黑体" w:cs="方正兰亭纤黑_GBK"/>
          <w:color w:val="000000"/>
          <w:sz w:val="17"/>
          <w:szCs w:val="17"/>
          <w:lang w:val="zh-CN" w:eastAsia="zh-CN"/>
        </w:rPr>
        <w:t>时，</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与热环境的关联度值逐渐降低</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3.2  </w:t>
      </w:r>
      <w:r>
        <w:rPr>
          <w:rFonts w:hint="eastAsia" w:ascii="黑体" w:hAnsi="黑体" w:eastAsia="黑体" w:cs="方正兰亭准黑_GBK"/>
          <w:color w:val="000000"/>
          <w:sz w:val="17"/>
          <w:szCs w:val="17"/>
          <w:lang w:val="zh-CN" w:eastAsia="zh-CN"/>
        </w:rPr>
        <w:t>热中性与热舒适</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热中性是人们感觉不冷不热的状态，热舒适是人们对热环境表示满意的意识状态。本研究发现各季节之间人们的热中性差值为</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，这一差值略高于</w:t>
      </w:r>
      <w:r>
        <w:rPr>
          <w:rFonts w:ascii="黑体" w:hAnsi="黑体" w:eastAsia="黑体" w:cs="方正兰亭纤黑_GBK"/>
          <w:color w:val="000000"/>
          <w:sz w:val="17"/>
          <w:szCs w:val="17"/>
          <w:lang w:val="zh-CN" w:eastAsia="zh-CN"/>
        </w:rPr>
        <w:t>Cohen</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Lin</w:t>
      </w:r>
      <w:r>
        <w:rPr>
          <w:rFonts w:hint="eastAsia" w:ascii="黑体" w:hAnsi="黑体" w:eastAsia="黑体" w:cs="方正兰亭纤黑_GBK"/>
          <w:color w:val="000000"/>
          <w:sz w:val="17"/>
          <w:szCs w:val="17"/>
          <w:lang w:val="zh-CN" w:eastAsia="zh-CN"/>
        </w:rPr>
        <w:t>的研究</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。人们在各热舒适的差值高达</w:t>
      </w:r>
      <w:r>
        <w:rPr>
          <w:rFonts w:ascii="黑体" w:hAnsi="黑体" w:eastAsia="黑体" w:cs="方正兰亭纤黑_GBK"/>
          <w:color w:val="000000"/>
          <w:sz w:val="17"/>
          <w:szCs w:val="17"/>
          <w:lang w:val="zh-CN" w:eastAsia="zh-CN"/>
        </w:rPr>
        <w:t>5~10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，显著表明在夏季越凉爽越舒适，冬季越温暖越舒适。各季节的热中性和热舒适的范围相比较，秋季最宽，冬季其次，夏季最窄，这与人们对广场热认知结果一致，人们认为在广场夏季热环境较为严峻。</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3.3  </w:t>
      </w:r>
      <w:r>
        <w:rPr>
          <w:rFonts w:hint="eastAsia" w:ascii="黑体" w:hAnsi="黑体" w:eastAsia="黑体" w:cs="方正兰亭准黑_GBK"/>
          <w:color w:val="000000"/>
          <w:sz w:val="17"/>
          <w:szCs w:val="17"/>
          <w:lang w:val="zh-CN" w:eastAsia="zh-CN"/>
        </w:rPr>
        <w:t>广场形态与热认知</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区与草坪区拥有相似的热环境，人们对广场区的热认知却远远高于草坪区，这可能受到广场形态与人们活动需求的综合影响。在夏季，热舒适作为人们来广场区活动的主要原因时，人们判断悬挑区最舒适；在秋冬两季，空间开阔成为人们来广场活动的最主要原因时，人们判断广场最舒适。本研究进一步支持了</w:t>
      </w:r>
      <w:r>
        <w:rPr>
          <w:rFonts w:ascii="黑体" w:hAnsi="黑体" w:eastAsia="黑体" w:cs="方正兰亭纤黑_GBK"/>
          <w:color w:val="000000"/>
          <w:sz w:val="17"/>
          <w:szCs w:val="17"/>
          <w:lang w:val="zh-CN" w:eastAsia="zh-CN"/>
        </w:rPr>
        <w:t>Lenzholzer</w:t>
      </w:r>
      <w:r>
        <w:rPr>
          <w:rFonts w:hint="eastAsia" w:ascii="黑体" w:hAnsi="黑体" w:eastAsia="黑体" w:cs="方正兰亭纤黑_GBK"/>
          <w:color w:val="000000"/>
          <w:sz w:val="17"/>
          <w:szCs w:val="17"/>
          <w:lang w:val="zh-CN" w:eastAsia="zh-CN"/>
        </w:rPr>
        <w:t>提出的人们视觉认知或空间认知与小气候认知存在关联性</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3.4  </w:t>
      </w:r>
      <w:r>
        <w:rPr>
          <w:rFonts w:hint="eastAsia" w:ascii="黑体" w:hAnsi="黑体" w:eastAsia="黑体" w:cs="方正兰亭准黑_GBK"/>
          <w:color w:val="000000"/>
          <w:sz w:val="17"/>
          <w:szCs w:val="17"/>
          <w:lang w:val="zh-CN" w:eastAsia="zh-CN"/>
        </w:rPr>
        <w:t>两个广场热中性范围比较</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本研究比较了创智天地广场与国歌广场热中性范围的差异，创智天地广场热中性范围为</w:t>
      </w:r>
      <w:r>
        <w:rPr>
          <w:rFonts w:ascii="黑体" w:hAnsi="黑体" w:eastAsia="黑体" w:cs="方正兰亭纤黑_GBK"/>
          <w:color w:val="000000"/>
          <w:sz w:val="17"/>
          <w:szCs w:val="17"/>
          <w:lang w:val="zh-CN" w:eastAsia="zh-CN"/>
        </w:rPr>
        <w:t>14~27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7"/>
          <w:szCs w:val="17"/>
          <w:lang w:val="zh-CN" w:eastAsia="zh-CN"/>
          <w14:textFill>
            <w14:solidFill>
              <w14:schemeClr w14:val="tx1"/>
            </w14:solidFill>
          </w14:textFill>
        </w:rPr>
        <w:t>③</w:t>
      </w:r>
      <w:r>
        <w:rPr>
          <w:rFonts w:hint="eastAsia" w:ascii="黑体" w:hAnsi="黑体" w:eastAsia="黑体" w:cs="方正兰亭纤黑_GBK"/>
          <w:color w:val="000000"/>
          <w:sz w:val="17"/>
          <w:szCs w:val="17"/>
          <w:lang w:val="zh-CN" w:eastAsia="zh-CN"/>
        </w:rPr>
        <w:t>，国歌广场热中性范围</w:t>
      </w:r>
      <w:r>
        <w:rPr>
          <w:rFonts w:ascii="黑体" w:hAnsi="黑体" w:eastAsia="黑体" w:cs="方正兰亭纤黑_GBK"/>
          <w:color w:val="000000"/>
          <w:sz w:val="17"/>
          <w:szCs w:val="17"/>
          <w:lang w:val="zh-CN" w:eastAsia="zh-CN"/>
        </w:rPr>
        <w:t>7~25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，后者较前者更为宽广。</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个广场受访者经历的空气温度范围基本一致，因此并不能像比较不同地区的中性范围一样将其归因于空气温度变化范围宽窄；从受访人群上也很难将其归因于社会文化差别。</w:t>
      </w:r>
      <w:r>
        <w:rPr>
          <w:rFonts w:ascii="黑体" w:hAnsi="黑体" w:eastAsia="黑体" w:cs="方正兰亭纤黑_GBK"/>
          <w:color w:val="000000"/>
          <w:sz w:val="17"/>
          <w:szCs w:val="17"/>
          <w:lang w:val="zh-CN" w:eastAsia="zh-CN"/>
        </w:rPr>
        <w:t>Nasir</w:t>
      </w:r>
      <w:r>
        <w:rPr>
          <w:rFonts w:hint="eastAsia" w:ascii="黑体" w:hAnsi="黑体" w:eastAsia="黑体" w:cs="方正兰亭纤黑_GBK"/>
          <w:color w:val="000000"/>
          <w:sz w:val="17"/>
          <w:szCs w:val="17"/>
          <w:lang w:val="zh-CN" w:eastAsia="zh-CN"/>
        </w:rPr>
        <w:t>曾证实在特定的小气候环境中人们的活动偏好和热感知显著相关</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广场形态和人们活动的耦合作用可能影响了人们的热中性范围。作为活动的发生器，创智天地广场上的受访者活动类型单一，仅仅驻足、坐憩，而国歌广场有更多的绿色覆盖和更小的空间单元，促进了打拳、散步、跳舞等活动的发生。</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4  </w:t>
      </w:r>
      <w:r>
        <w:rPr>
          <w:rFonts w:hint="eastAsia" w:ascii="黑体" w:hAnsi="黑体" w:eastAsia="黑体" w:cs="方正兰亭准黑_GBK"/>
          <w:color w:val="000000"/>
          <w:sz w:val="17"/>
          <w:szCs w:val="17"/>
          <w:lang w:val="zh-CN" w:eastAsia="zh-CN"/>
        </w:rPr>
        <w:t>结论</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本文对上海创智天地广场进行了夏秋冬三季共计</w:t>
      </w:r>
      <w:r>
        <w:rPr>
          <w:rFonts w:ascii="黑体" w:hAnsi="黑体" w:eastAsia="黑体" w:cs="方正兰亭纤黑_GBK"/>
          <w:color w:val="000000"/>
          <w:sz w:val="17"/>
          <w:szCs w:val="17"/>
          <w:lang w:val="zh-CN" w:eastAsia="zh-CN"/>
        </w:rPr>
        <w:t>10d</w:t>
      </w:r>
      <w:r>
        <w:rPr>
          <w:rFonts w:hint="eastAsia" w:ascii="黑体" w:hAnsi="黑体" w:eastAsia="黑体" w:cs="方正兰亭纤黑_GBK"/>
          <w:color w:val="000000"/>
          <w:sz w:val="17"/>
          <w:szCs w:val="17"/>
          <w:lang w:val="zh-CN" w:eastAsia="zh-CN"/>
        </w:rPr>
        <w:t>的小气候物理实验和大众心理感知研究，验证了广场空间形态、热环境与人的心理感知三者之间密切相关。</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等形态因子与热环境关系紧密：更小的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适用于夏季，更大的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适合于秋冬两季；热舒适是比热中性更为狭窄的范围并且更难获得，热舒适与热感觉均与空气温度和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显著相关，热感觉与空气温度和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更高。人们的热感觉与热认知较为一致的是广场夏季热环境较为严峻，空间开阔是人们在秋冬两季来广场的主要原因，它影响了人们对广场各区的热认知；创智广场的热中性范围低于国歌广场，国歌广场空间形态与人们活动的耦合可能影响了人们的热中性范围。</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遮阴与开阔是上海地区广场设计的必备条件。未来的研究将继续关注空间开阔对热认知的影响以及空间形态与行为活动的耦合对热中性范围的作用，进一步揭示广场空间形态、热环境与心理感知之间的关系，为创造更加适宜的广场空间提供依据。</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4"/>
          <w:szCs w:val="14"/>
          <w:lang w:val="zh-CN" w:eastAsia="zh-CN"/>
        </w:rPr>
        <w:t>注：文中图片均由作者绘制。</w:t>
      </w:r>
      <w:r>
        <w:rPr>
          <w:rFonts w:hint="eastAsia" w:ascii="黑体" w:hAnsi="黑体" w:eastAsia="黑体" w:cs="Times New Roman"/>
          <w:b/>
          <w:color w:val="C00000"/>
          <w:sz w:val="14"/>
          <w:szCs w:val="14"/>
          <w:lang w:eastAsia="zh-CN"/>
        </w:rPr>
        <w:t>（黑体-7点 行距16点）</w:t>
      </w:r>
    </w:p>
    <w:p>
      <w:pPr>
        <w:widowControl w:val="0"/>
        <w:autoSpaceDE w:val="0"/>
        <w:autoSpaceDN w:val="0"/>
        <w:adjustRightInd w:val="0"/>
        <w:spacing w:line="320" w:lineRule="atLeast"/>
        <w:ind w:firstLine="340"/>
        <w:jc w:val="both"/>
        <w:textAlignment w:val="center"/>
        <w:rPr>
          <w:rFonts w:ascii="方正兰亭纤黑_GBK" w:eastAsia="方正兰亭纤黑_GBK" w:cs="方正兰亭纤黑_GBK"/>
          <w:color w:val="000000"/>
          <w:sz w:val="14"/>
          <w:szCs w:val="14"/>
          <w:lang w:val="zh-CN" w:eastAsia="zh-CN"/>
        </w:rPr>
      </w:pPr>
      <w:r>
        <w:rPr>
          <w:rFonts w:hint="eastAsia" w:ascii="黑体" w:hAnsi="黑体" w:eastAsia="黑体" w:cs="方正兰亭纤黑_GBK"/>
          <w:color w:val="000000"/>
          <w:sz w:val="14"/>
          <w:szCs w:val="14"/>
          <w:lang w:val="zh-CN" w:eastAsia="zh-CN"/>
        </w:rPr>
        <w:t>致谢：感谢同济大学建筑与城市规划学院提供的帮助；感谢博士生连泽峰、刘鸣以及硕士生李凌舒对数据收集提供的帮助。</w:t>
      </w:r>
    </w:p>
    <w:p>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Times New Roman"/>
          <w:b/>
          <w:sz w:val="15"/>
          <w:szCs w:val="15"/>
          <w:lang w:eastAsia="zh-CN"/>
        </w:rPr>
        <w:t>注释</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50800</wp:posOffset>
                </wp:positionV>
                <wp:extent cx="288607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4pt;height:0pt;width:227.25pt;z-index:251678720;mso-width-relative:page;mso-height-relative:page;" filled="f" stroked="t" coordsize="21600,21600" o:gfxdata="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FN9W0gAAAAUBAAAPAAAAAAAAAAEAIAAAACIAAABkcnMvZG93bnJldi54&#10;bWxQSwECFAAUAAAACACHTuJAI7ShnccBAABjAwAADgAAAAAAAAABACAAAAAhAQAAZHJzL2Uyb0Rv&#10;Yy54bWxQSwUGAAAAAAYABgBZAQAAWgU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① 来源：上海市气象信息传媒中心，2011-3-21，12：34。</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② 来源：中国天气网讯中央气象台11月18日06时继续发布寒潮蓝色预警。</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③ 澎拜新闻：《大风蓝色预警19时整刚刚发布！上海将有7到8级偏北大风》。</w:t>
      </w: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r>
        <w:rPr>
          <w:rFonts w:hint="eastAsia" w:ascii="黑体" w:hAnsi="黑体" w:eastAsia="黑体"/>
          <w:b/>
          <w:color w:val="C00000"/>
          <w:sz w:val="13"/>
          <w:szCs w:val="13"/>
          <w:lang w:eastAsia="zh-CN"/>
        </w:rPr>
        <w:t>（黑体-6.5点 行距11点）</w:t>
      </w: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sectPr>
          <w:type w:val="continuous"/>
          <w:pgSz w:w="11900" w:h="16840"/>
          <w:pgMar w:top="1985" w:right="851" w:bottom="1134" w:left="1134" w:header="709" w:footer="709" w:gutter="0"/>
          <w:cols w:space="708" w:num="2"/>
          <w:docGrid w:linePitch="360" w:charSpace="0"/>
        </w:sectPr>
      </w:pPr>
    </w:p>
    <w:p>
      <w:pPr>
        <w:widowControl w:val="0"/>
        <w:autoSpaceDE w:val="0"/>
        <w:autoSpaceDN w:val="0"/>
        <w:adjustRightInd w:val="0"/>
        <w:spacing w:line="288" w:lineRule="auto"/>
        <w:textAlignment w:val="center"/>
        <w:rPr>
          <w:rFonts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方正兰亭准黑简体"/>
          <w:color w:val="000000" w:themeColor="text1"/>
          <w:sz w:val="15"/>
          <w:szCs w:val="15"/>
          <w:lang w:val="zh-CN" w:eastAsia="zh-CN"/>
          <w14:textFill>
            <w14:solidFill>
              <w14:schemeClr w14:val="tx1"/>
            </w14:solidFill>
          </w14:textFill>
        </w:rPr>
        <w:t>参考文献</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widowControl w:val="0"/>
        <w:autoSpaceDE w:val="0"/>
        <w:autoSpaceDN w:val="0"/>
        <w:adjustRightInd w:val="0"/>
        <w:spacing w:line="288" w:lineRule="auto"/>
        <w:textAlignment w:val="center"/>
        <w:rPr>
          <w:rFonts w:ascii="黑体" w:hAnsi="黑体" w:eastAsia="黑体" w:cs="方正粗雅宋_GBK"/>
          <w:color w:val="000000" w:themeColor="text1"/>
          <w:sz w:val="15"/>
          <w:szCs w:val="15"/>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60325</wp:posOffset>
                </wp:positionV>
                <wp:extent cx="2886075" cy="0"/>
                <wp:effectExtent l="0" t="0" r="9525" b="19050"/>
                <wp:wrapNone/>
                <wp:docPr id="17" name="直接连接符 17"/>
                <wp:cNvGraphicFramePr/>
                <a:graphic xmlns:a="http://schemas.openxmlformats.org/drawingml/2006/main">
                  <a:graphicData uri="http://schemas.microsoft.com/office/word/2010/wordprocessingShape">
                    <wps:wsp>
                      <wps:cNvCnPr/>
                      <wps:spPr>
                        <a:xfrm>
                          <a:off x="0" y="0"/>
                          <a:ext cx="2886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4.75pt;height:0pt;width:227.25pt;z-index:251675648;mso-width-relative:page;mso-height-relative:page;" filled="f" stroked="t" coordsize="21600,21600" o:gfxdata="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YmTWdIAAAAEAQAADwAAAAAAAAABACAAAAAiAAAAZHJzL2Rvd25yZXYu&#10;eG1sUEsBAhQAFAAAAAgAh07iQCCCBZnIAQAAZQMAAA4AAAAAAAAAAQAgAAAAIQEAAGRycy9lMm9E&#10;b2MueG1sUEsFBgAAAAAGAAYAWQEAAFsFA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[1]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刘滨谊，张德顺，张琳，等</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上海城市开敞空间小气候适应性设计基础调查研究</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30(12)</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17-22.</w:t>
      </w:r>
      <w:r>
        <w:rPr>
          <w:rFonts w:hint="eastAsia" w:ascii="黑体" w:hAnsi="黑体" w:eastAsia="黑体"/>
          <w:b/>
          <w:color w:val="C00000"/>
          <w:sz w:val="13"/>
          <w:szCs w:val="13"/>
          <w:lang w:eastAsia="zh-CN"/>
        </w:rPr>
        <w:t xml:space="preserve"> （黑体-6.5点 行距11点）</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[2]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刘滨谊，魏冬雪，李凌舒</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上海国歌广场热舒适研究</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33(4)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5-11.</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[3]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Liu B Y, WEI D X. Winds of change in Shanghai[J]. Landscape Institute, 2017(Autumn): 45-51.</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[4]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张德顺，王振</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高密度地区广场冠层小气候效应及人体热舒适度研究：以上海创智天地广场为例</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33(4)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18-22.</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[5]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景观规划设计三元论：寻求中国景观规划设计发展创新的基点</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新建筑，</w:t>
      </w:r>
      <w:r>
        <w:rPr>
          <w:rFonts w:ascii="黑体" w:hAnsi="黑体" w:eastAsia="黑体" w:cs="方正兰亭纤黑_GBK"/>
          <w:color w:val="000000"/>
          <w:spacing w:val="-3"/>
          <w:sz w:val="13"/>
          <w:szCs w:val="13"/>
          <w:lang w:val="zh-CN" w:eastAsia="zh-CN"/>
        </w:rPr>
        <w:t>2001(5)</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1-3.</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[6]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Lin T P. Thermal perception, adaptation and attendance in a public square in hot and humid regions[J]. Building &amp; Environment, 2009, 44(10): 2017-2026.</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[7]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Jamei E, Rajagopalan P, Seyedmahmoudian M, et al. Review on the impact of urban geometry and pedestrian level greening on outdoor thermal comfort[J]. Renewable &amp; Sustainable Energy Reviews, 2016, 54: 1002-1017.</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[8]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邱蒙</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上海城市广场空间垂直界面影响小气候量化测析</w:t>
      </w:r>
      <w:r>
        <w:rPr>
          <w:rFonts w:ascii="黑体" w:hAnsi="黑体" w:eastAsia="黑体" w:cs="方正兰亭纤黑_GBK"/>
          <w:color w:val="000000"/>
          <w:spacing w:val="-3"/>
          <w:sz w:val="13"/>
          <w:szCs w:val="13"/>
          <w:lang w:val="zh-CN" w:eastAsia="zh-CN"/>
        </w:rPr>
        <w:t>[D].</w:t>
      </w:r>
      <w:r>
        <w:rPr>
          <w:rFonts w:hint="eastAsia" w:ascii="黑体" w:hAnsi="黑体" w:eastAsia="黑体" w:cs="方正兰亭纤黑_GBK"/>
          <w:color w:val="000000"/>
          <w:spacing w:val="-3"/>
          <w:sz w:val="13"/>
          <w:szCs w:val="13"/>
          <w:lang w:val="zh-CN" w:eastAsia="zh-CN"/>
        </w:rPr>
        <w:t>上海：同济大学，</w:t>
      </w:r>
      <w:r>
        <w:rPr>
          <w:rFonts w:ascii="黑体" w:hAnsi="黑体" w:eastAsia="黑体" w:cs="方正兰亭纤黑_GBK"/>
          <w:color w:val="000000"/>
          <w:spacing w:val="-3"/>
          <w:sz w:val="13"/>
          <w:szCs w:val="13"/>
          <w:lang w:val="zh-CN" w:eastAsia="zh-CN"/>
        </w:rPr>
        <w:t>2015.</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[9]     </w:t>
      </w:r>
      <w:r>
        <w:rPr>
          <w:rFonts w:hint="eastAsia" w:ascii="黑体" w:hAnsi="黑体" w:eastAsia="黑体" w:cs="方正兰亭纤黑_GBK"/>
          <w:color w:val="000000"/>
          <w:spacing w:val="-3"/>
          <w:sz w:val="13"/>
          <w:szCs w:val="13"/>
          <w:lang w:val="zh-CN" w:eastAsia="zh-CN"/>
        </w:rPr>
        <w:t>史兵，汪新，赵冬</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天空开阔度对城市住宅小区热环境影响的数值模拟</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应用力学学报，</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34(6)</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1181-1186</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1227.</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[10]   Cohen P, Potchter O, Matzarakis A.  Human thermal perception of Coastal Mediterranean outdoor urban environments[J].  Applied Geography, 2013, 37: 1-10.</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[11]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Lenzholzer S, Koh J. Immersed in microclimatic space: microclimate experience and perception of spatial configurations in Dutch square[J]. Landscape &amp; Urban Planning, 2010, 95(1): 1-15.</w:t>
      </w:r>
    </w:p>
    <w:p>
      <w:pPr>
        <w:widowControl w:val="0"/>
        <w:autoSpaceDE w:val="0"/>
        <w:autoSpaceDN w:val="0"/>
        <w:adjustRightInd w:val="0"/>
        <w:spacing w:line="220" w:lineRule="atLeast"/>
        <w:ind w:left="510" w:hanging="510"/>
        <w:jc w:val="both"/>
        <w:textAlignment w:val="center"/>
        <w:rPr>
          <w:rFonts w:ascii="黑体" w:hAnsi="黑体" w:eastAsia="黑体" w:cs="方正兰亭纤黑_GBK"/>
          <w:color w:val="000000" w:themeColor="text1"/>
          <w:spacing w:val="-3"/>
          <w:sz w:val="13"/>
          <w:szCs w:val="13"/>
          <w:lang w:val="zh-CN" w:eastAsia="zh-CN"/>
          <w14:textFill>
            <w14:solidFill>
              <w14:schemeClr w14:val="tx1"/>
            </w14:solidFill>
          </w14:textFill>
        </w:rPr>
      </w:pPr>
      <w:r>
        <w:rPr>
          <w:rFonts w:ascii="黑体" w:hAnsi="黑体" w:eastAsia="黑体" w:cs="方正兰亭纤黑_GBK"/>
          <w:color w:val="000000"/>
          <w:spacing w:val="-3"/>
          <w:sz w:val="13"/>
          <w:szCs w:val="13"/>
          <w:lang w:val="zh-CN" w:eastAsia="zh-CN"/>
        </w:rPr>
        <w:t>[12]   Nasir R A, Ahmad S S, Ahmed A Z. Physical Activity and Human Comfort Correlation in an Urban Park in Hot and Humid Conditions[J].  Procedia - Social and Behavioral Sciences, 2013, 105(2): 598-609.</w:t>
      </w:r>
    </w:p>
    <w:p>
      <w:pPr>
        <w:widowControl w:val="0"/>
        <w:autoSpaceDE w:val="0"/>
        <w:autoSpaceDN w:val="0"/>
        <w:adjustRightInd w:val="0"/>
        <w:spacing w:line="220" w:lineRule="atLeast"/>
        <w:ind w:left="510" w:hanging="510"/>
        <w:textAlignment w:val="center"/>
        <w:rPr>
          <w:rFonts w:ascii="黑体" w:hAnsi="黑体" w:eastAsia="黑体" w:cs="苹方 常规"/>
          <w:color w:val="000000" w:themeColor="text1"/>
          <w:sz w:val="13"/>
          <w:szCs w:val="13"/>
          <w:lang w:val="zh-CN" w:eastAsia="zh-CN"/>
          <w14:textFill>
            <w14:solidFill>
              <w14:schemeClr w14:val="tx1"/>
            </w14:solidFill>
          </w14:textFill>
        </w:rPr>
      </w:pPr>
    </w:p>
    <w:p>
      <w:pPr>
        <w:widowControl w:val="0"/>
        <w:autoSpaceDE w:val="0"/>
        <w:autoSpaceDN w:val="0"/>
        <w:adjustRightInd w:val="0"/>
        <w:spacing w:line="288" w:lineRule="auto"/>
        <w:ind w:left="510" w:hanging="510"/>
        <w:jc w:val="right"/>
        <w:textAlignment w:val="center"/>
        <w:rPr>
          <w:rFonts w:ascii="黑体" w:hAnsi="黑体" w:eastAsia="黑体" w:cs="苹方 细体"/>
          <w:color w:val="000000" w:themeColor="text1"/>
          <w:sz w:val="13"/>
          <w:szCs w:val="13"/>
          <w:lang w:val="zh-CN" w:eastAsia="zh-CN"/>
          <w14:textFill>
            <w14:solidFill>
              <w14:schemeClr w14:val="tx1"/>
            </w14:solidFill>
          </w14:textFill>
        </w:rPr>
      </w:pPr>
      <w:r>
        <w:rPr>
          <w:rFonts w:ascii="黑体" w:hAnsi="黑体" w:eastAsia="黑体" w:cs="苹方 细体"/>
          <w:color w:val="000000" w:themeColor="text1"/>
          <w:sz w:val="13"/>
          <w:szCs w:val="13"/>
          <w:lang w:val="zh-CN" w:eastAsia="zh-CN"/>
          <w14:textFill>
            <w14:solidFill>
              <w14:schemeClr w14:val="tx1"/>
            </w14:solidFill>
          </w14:textFill>
        </w:rPr>
        <w:t>(</w:t>
      </w:r>
      <w:r>
        <w:rPr>
          <w:rFonts w:hint="eastAsia" w:ascii="黑体" w:hAnsi="黑体" w:eastAsia="黑体" w:cs="苹方 细体"/>
          <w:color w:val="000000" w:themeColor="text1"/>
          <w:sz w:val="13"/>
          <w:szCs w:val="13"/>
          <w:lang w:val="zh-CN" w:eastAsia="zh-CN"/>
          <w14:textFill>
            <w14:solidFill>
              <w14:schemeClr w14:val="tx1"/>
            </w14:solidFill>
          </w14:textFill>
        </w:rPr>
        <w:t>编辑</w:t>
      </w:r>
      <w:r>
        <w:rPr>
          <w:rFonts w:ascii="黑体" w:hAnsi="黑体" w:eastAsia="黑体" w:cs="苹方 细体"/>
          <w:color w:val="000000" w:themeColor="text1"/>
          <w:sz w:val="13"/>
          <w:szCs w:val="13"/>
          <w:lang w:val="zh-CN" w:eastAsia="zh-CN"/>
          <w14:textFill>
            <w14:solidFill>
              <w14:schemeClr w14:val="tx1"/>
            </w14:solidFill>
          </w14:textFill>
        </w:rPr>
        <w:t>/</w:t>
      </w:r>
      <w:r>
        <w:rPr>
          <w:rFonts w:hint="eastAsia" w:ascii="黑体" w:hAnsi="黑体" w:eastAsia="黑体" w:cs="苹方 细体"/>
          <w:color w:val="000000" w:themeColor="text1"/>
          <w:sz w:val="13"/>
          <w:szCs w:val="13"/>
          <w:lang w:val="zh-CN" w:eastAsia="zh-CN"/>
          <w14:textFill>
            <w14:solidFill>
              <w14:schemeClr w14:val="tx1"/>
            </w14:solidFill>
          </w14:textFill>
        </w:rPr>
        <w:t>李旻</w:t>
      </w:r>
      <w:r>
        <w:rPr>
          <w:rFonts w:ascii="黑体" w:hAnsi="黑体" w:eastAsia="黑体" w:cs="苹方 细体"/>
          <w:color w:val="000000" w:themeColor="text1"/>
          <w:sz w:val="13"/>
          <w:szCs w:val="13"/>
          <w:lang w:val="zh-CN" w:eastAsia="zh-CN"/>
          <w14:textFill>
            <w14:solidFill>
              <w14:schemeClr w14:val="tx1"/>
            </w14:solidFill>
          </w14:textFill>
        </w:rPr>
        <w:t>)</w:t>
      </w: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sz w:val="18"/>
          <w:szCs w:val="18"/>
          <w:lang w:eastAsia="zh-CN"/>
        </w:rPr>
      </w:pPr>
      <w:bookmarkStart w:id="0" w:name="_GoBack"/>
      <w:bookmarkEnd w:id="0"/>
    </w:p>
    <w:p>
      <w:pPr>
        <w:widowControl w:val="0"/>
        <w:spacing w:line="320" w:lineRule="exact"/>
        <w:jc w:val="both"/>
        <w:rPr>
          <w:sz w:val="18"/>
          <w:szCs w:val="18"/>
          <w:lang w:eastAsia="zh-CN"/>
        </w:rPr>
      </w:pPr>
    </w:p>
    <w:p>
      <w:pPr>
        <w:jc w:val="center"/>
        <w:rPr>
          <w:rFonts w:hint="eastAsia" w:ascii="黑体" w:hAnsi="黑体" w:eastAsia="黑体" w:cs="微软雅黑"/>
          <w:sz w:val="21"/>
          <w:szCs w:val="21"/>
        </w:rPr>
      </w:pPr>
      <w:r>
        <w:rPr>
          <w:rFonts w:hint="eastAsia" w:ascii="黑体" w:hAnsi="黑体" w:eastAsia="黑体" w:cs="微软雅黑"/>
          <w:sz w:val="21"/>
          <w:szCs w:val="21"/>
        </w:rPr>
        <w:t>说明</w:t>
      </w:r>
    </w:p>
    <w:p>
      <w:pPr>
        <w:numPr>
          <w:ilvl w:val="0"/>
          <w:numId w:val="1"/>
        </w:numPr>
        <w:jc w:val="left"/>
        <w:rPr>
          <w:rFonts w:hint="eastAsia" w:ascii="黑体" w:hAnsi="黑体" w:eastAsia="黑体" w:cs="微软雅黑"/>
          <w:sz w:val="21"/>
          <w:szCs w:val="21"/>
        </w:rPr>
      </w:pPr>
      <w:r>
        <w:rPr>
          <w:rFonts w:hint="eastAsia" w:ascii="黑体" w:hAnsi="黑体" w:eastAsia="黑体" w:cs="微软雅黑"/>
          <w:sz w:val="21"/>
          <w:szCs w:val="21"/>
        </w:rPr>
        <w:t>用顺序标注法标注参考文献，文后的文献一定是文中引用的文献，即在文中能找到相应的序号位置，请注意检查，文中的序号顺序，多少和文后的参考文献处一定保持一致；若是文中的图或表也是引自具体的文献，则在图名或者表名上进行相应的文献标注，并按照图或表在文中出现的顺序统一编排参考文献序号；</w:t>
      </w:r>
    </w:p>
    <w:p>
      <w:pPr>
        <w:adjustRightInd w:val="0"/>
        <w:jc w:val="left"/>
        <w:rPr>
          <w:rFonts w:hint="eastAsia" w:ascii="黑体" w:hAnsi="黑体" w:eastAsia="黑体" w:cs="微软雅黑"/>
          <w:sz w:val="21"/>
          <w:szCs w:val="21"/>
        </w:rPr>
      </w:pPr>
      <w:r>
        <w:rPr>
          <w:rFonts w:hint="eastAsia" w:ascii="黑体" w:hAnsi="黑体" w:eastAsia="黑体" w:cs="微软雅黑"/>
          <w:sz w:val="21"/>
          <w:szCs w:val="21"/>
        </w:rPr>
        <w:t>2.文中若有脚注，请在相应的位置用①、②......上标表示，在文章最后参考文献之前写上注释：①具体解释。②具体解释......</w:t>
      </w:r>
    </w:p>
    <w:p>
      <w:pPr>
        <w:jc w:val="left"/>
        <w:rPr>
          <w:rFonts w:hint="eastAsia" w:ascii="黑体" w:hAnsi="黑体" w:eastAsia="黑体" w:cs="微软雅黑"/>
          <w:sz w:val="21"/>
          <w:szCs w:val="21"/>
        </w:rPr>
      </w:pPr>
      <w:r>
        <w:rPr>
          <w:rFonts w:hint="eastAsia" w:ascii="黑体" w:hAnsi="黑体" w:eastAsia="黑体" w:cs="微软雅黑"/>
          <w:sz w:val="21"/>
          <w:szCs w:val="21"/>
        </w:rPr>
        <w:t>3.文中单位，图中单位，表格中单位都请用</w:t>
      </w:r>
      <w:r>
        <w:rPr>
          <w:rFonts w:hint="eastAsia" w:ascii="黑体" w:hAnsi="黑体" w:eastAsia="黑体" w:cs="微软雅黑"/>
          <w:b/>
          <w:color w:val="FF0000"/>
          <w:sz w:val="21"/>
          <w:szCs w:val="21"/>
        </w:rPr>
        <w:t>国际单位制</w:t>
      </w:r>
      <w:r>
        <w:rPr>
          <w:rFonts w:hint="eastAsia" w:ascii="黑体" w:hAnsi="黑体" w:eastAsia="黑体" w:cs="微软雅黑"/>
          <w:sz w:val="21"/>
          <w:szCs w:val="21"/>
        </w:rPr>
        <w:t>，如米改为m，公顷改为hm</w:t>
      </w:r>
      <w:r>
        <w:rPr>
          <w:rFonts w:hint="eastAsia" w:ascii="黑体" w:hAnsi="黑体" w:eastAsia="黑体" w:cs="微软雅黑"/>
          <w:sz w:val="21"/>
          <w:szCs w:val="21"/>
          <w:vertAlign w:val="superscript"/>
        </w:rPr>
        <w:t>2</w:t>
      </w:r>
      <w:r>
        <w:rPr>
          <w:rFonts w:hint="eastAsia" w:ascii="黑体" w:hAnsi="黑体" w:eastAsia="黑体" w:cs="微软雅黑"/>
          <w:sz w:val="21"/>
          <w:szCs w:val="21"/>
        </w:rPr>
        <w:t>等，</w:t>
      </w:r>
    </w:p>
    <w:p>
      <w:pPr>
        <w:jc w:val="left"/>
        <w:rPr>
          <w:rFonts w:hint="eastAsia" w:ascii="黑体" w:hAnsi="黑体" w:eastAsia="黑体" w:cs="微软雅黑"/>
          <w:sz w:val="21"/>
          <w:szCs w:val="21"/>
        </w:rPr>
      </w:pPr>
      <w:r>
        <w:rPr>
          <w:rFonts w:hint="eastAsia" w:ascii="黑体" w:hAnsi="黑体" w:eastAsia="黑体" w:cs="微软雅黑"/>
          <w:sz w:val="21"/>
          <w:szCs w:val="21"/>
        </w:rPr>
        <w:t>若是有英国单位英亩，英尺或是古代单位尺等，请换算成国际单位制的数值，然后再括号标注，格式应该为，如，该场地的面积为XXX亩(XXm</w:t>
      </w:r>
      <w:r>
        <w:rPr>
          <w:rFonts w:hint="eastAsia" w:ascii="黑体" w:hAnsi="黑体" w:eastAsia="黑体" w:cs="微软雅黑"/>
          <w:sz w:val="21"/>
          <w:szCs w:val="21"/>
          <w:vertAlign w:val="superscript"/>
        </w:rPr>
        <w:t>2</w:t>
      </w:r>
      <w:r>
        <w:rPr>
          <w:rFonts w:hint="eastAsia" w:ascii="黑体" w:hAnsi="黑体" w:eastAsia="黑体" w:cs="微软雅黑"/>
          <w:sz w:val="21"/>
          <w:szCs w:val="21"/>
        </w:rPr>
        <w:t>)。</w:t>
      </w:r>
    </w:p>
    <w:p>
      <w:pPr>
        <w:jc w:val="left"/>
        <w:rPr>
          <w:rFonts w:hint="eastAsia" w:ascii="黑体" w:hAnsi="黑体" w:eastAsia="黑体" w:cs="微软雅黑"/>
          <w:sz w:val="21"/>
          <w:szCs w:val="21"/>
        </w:rPr>
      </w:pPr>
      <w:r>
        <w:rPr>
          <w:rFonts w:hint="eastAsia" w:ascii="黑体" w:hAnsi="黑体" w:eastAsia="黑体" w:cs="微软雅黑"/>
          <w:sz w:val="21"/>
          <w:szCs w:val="21"/>
        </w:rPr>
        <w:t>4.若是有古代的纪年，则在纪年后括号标注公元年份；</w:t>
      </w:r>
    </w:p>
    <w:p>
      <w:pPr>
        <w:jc w:val="left"/>
        <w:rPr>
          <w:rFonts w:hint="eastAsia" w:ascii="黑体" w:hAnsi="黑体" w:eastAsia="黑体" w:cs="微软雅黑"/>
          <w:sz w:val="21"/>
          <w:szCs w:val="21"/>
        </w:rPr>
      </w:pPr>
      <w:r>
        <w:rPr>
          <w:rFonts w:hint="eastAsia" w:ascii="黑体" w:hAnsi="黑体" w:eastAsia="黑体" w:cs="微软雅黑"/>
          <w:sz w:val="21"/>
          <w:szCs w:val="21"/>
        </w:rPr>
        <w:t>5.若是有英文的姓名，翻译成中文，括号标注英文名。若有英文的书名，刊名，文章名等，也都尽量翻译成中文，再括号标注英文。</w:t>
      </w:r>
    </w:p>
    <w:p>
      <w:pPr>
        <w:jc w:val="left"/>
        <w:rPr>
          <w:rFonts w:hint="eastAsia" w:ascii="黑体" w:hAnsi="黑体" w:eastAsia="黑体" w:cs="微软雅黑"/>
          <w:sz w:val="21"/>
          <w:szCs w:val="21"/>
        </w:rPr>
      </w:pPr>
      <w:r>
        <w:rPr>
          <w:rFonts w:hint="eastAsia" w:ascii="黑体" w:hAnsi="黑体" w:eastAsia="黑体" w:cs="微软雅黑"/>
          <w:sz w:val="21"/>
          <w:szCs w:val="21"/>
        </w:rPr>
        <w:t>6.若表中或图表的坐标轴上要标注单位，请用项目/单位来表示，比如，长度/km，速度/(m/s),百分比/%。</w:t>
      </w:r>
    </w:p>
    <w:p>
      <w:pPr>
        <w:rPr>
          <w:rFonts w:hint="eastAsia" w:ascii="黑体" w:hAnsi="黑体" w:eastAsia="黑体"/>
          <w:sz w:val="21"/>
          <w:szCs w:val="21"/>
        </w:rPr>
      </w:pPr>
    </w:p>
    <w:p>
      <w:pPr>
        <w:rPr>
          <w:rFonts w:hint="eastAsia" w:ascii="黑体" w:hAnsi="黑体" w:eastAsia="黑体"/>
          <w:sz w:val="21"/>
          <w:szCs w:val="21"/>
        </w:rPr>
      </w:pPr>
    </w:p>
    <w:p>
      <w:pPr>
        <w:adjustRightInd w:val="0"/>
        <w:jc w:val="center"/>
        <w:rPr>
          <w:rFonts w:hint="eastAsia" w:ascii="黑体" w:hAnsi="黑体" w:eastAsia="黑体" w:cs="微软雅黑"/>
          <w:sz w:val="21"/>
          <w:szCs w:val="21"/>
        </w:rPr>
      </w:pPr>
      <w:r>
        <w:rPr>
          <w:rFonts w:hint="eastAsia" w:ascii="黑体" w:hAnsi="黑体" w:eastAsia="黑体" w:cs="微软雅黑"/>
          <w:sz w:val="21"/>
          <w:szCs w:val="21"/>
        </w:rPr>
        <w:t>图表格式</w:t>
      </w:r>
    </w:p>
    <w:p>
      <w:pPr>
        <w:numPr>
          <w:ilvl w:val="0"/>
          <w:numId w:val="2"/>
        </w:numPr>
        <w:adjustRightInd w:val="0"/>
        <w:spacing w:before="156" w:beforeLines="50"/>
        <w:ind w:left="120" w:leftChars="50"/>
        <w:jc w:val="left"/>
        <w:rPr>
          <w:rFonts w:hint="eastAsia" w:ascii="黑体" w:hAnsi="黑体" w:eastAsia="黑体" w:cs="微软雅黑"/>
          <w:sz w:val="21"/>
          <w:szCs w:val="21"/>
        </w:rPr>
      </w:pPr>
      <w:r>
        <w:rPr>
          <w:rFonts w:hint="eastAsia" w:ascii="黑体" w:hAnsi="黑体" w:eastAsia="黑体" w:cs="微软雅黑"/>
          <w:sz w:val="21"/>
          <w:szCs w:val="21"/>
        </w:rPr>
        <w:t>文中所有图片要求必须在文字中出现，即文字中标注了相应的图号。</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2.图片的出处要注明，若是文章的图均由作者拍摄和绘制，则在文章最后，参考文献之前，另起一段，写上“注：文中图片均由作者拍摄或绘制。”</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若是文章图片由他人拍摄，则在图名后面加注(XXX摄或绘)</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若是文章图片引自文献，则按照图片在文章中出现的顺序，与文后的参考文献一起排名，在图名后上标参考文献的序号即可。</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若文章的图片引自网站或网络地图，则在图名后加注(引自</w:t>
      </w:r>
      <w:r>
        <w:rPr>
          <w:rFonts w:hint="eastAsia" w:ascii="黑体" w:hAnsi="黑体" w:eastAsia="黑体" w:cs="微软雅黑"/>
          <w:sz w:val="21"/>
          <w:szCs w:val="21"/>
        </w:rPr>
        <w:fldChar w:fldCharType="begin"/>
      </w:r>
      <w:r>
        <w:rPr>
          <w:rFonts w:hint="eastAsia" w:ascii="黑体" w:hAnsi="黑体" w:eastAsia="黑体" w:cs="微软雅黑"/>
          <w:sz w:val="21"/>
          <w:szCs w:val="21"/>
        </w:rPr>
        <w:instrText xml:space="preserve">HYPERLINK "http://hao.360.cn/?src=lm&amp;ls=n4529a40988" </w:instrText>
      </w:r>
      <w:r>
        <w:rPr>
          <w:rFonts w:hint="eastAsia" w:ascii="黑体" w:hAnsi="黑体" w:eastAsia="黑体" w:cs="微软雅黑"/>
          <w:sz w:val="21"/>
          <w:szCs w:val="21"/>
        </w:rPr>
        <w:fldChar w:fldCharType="separate"/>
      </w:r>
      <w:r>
        <w:rPr>
          <w:rStyle w:val="20"/>
          <w:rFonts w:hint="eastAsia" w:ascii="黑体" w:hAnsi="黑体" w:eastAsia="黑体" w:cs="微软雅黑"/>
          <w:sz w:val="21"/>
          <w:szCs w:val="21"/>
        </w:rPr>
        <w:t>http://hao.360.cn/?src=lm&amp;ls=n4529a40988</w:t>
      </w:r>
      <w:r>
        <w:rPr>
          <w:rFonts w:hint="eastAsia" w:ascii="黑体" w:hAnsi="黑体" w:eastAsia="黑体" w:cs="微软雅黑"/>
          <w:sz w:val="21"/>
          <w:szCs w:val="21"/>
        </w:rPr>
        <w:fldChar w:fldCharType="end"/>
      </w:r>
      <w:r>
        <w:rPr>
          <w:rFonts w:hint="eastAsia" w:ascii="黑体" w:hAnsi="黑体" w:eastAsia="黑体" w:cs="微软雅黑"/>
          <w:sz w:val="21"/>
          <w:szCs w:val="21"/>
        </w:rPr>
        <w:t>或是引自Google earth......)，若图片引自文献，但文献的资料信息不全，无法作为参考文献，则图名后加注(引自 文献名等可提供的信息)</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若图片是根据某个文献中的资料改绘，则在图名后标注为(改绘自参考文献[xx])</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3.文中所有的表也都要是文字中出现的表，即有表号。</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4.表用三线法表示。</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5.表中的单位尽量统一在表头中表示，不要在每一个单元格内标注，比如，这一列都是长度单位，则在表头那写上 长度/m,而不是在这列的具体的每个数字后面写上m。</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6.表头上的单位，也用物理量/单位 的形式表示，比如长度/m， 密度/（g/m</w:t>
      </w:r>
      <w:r>
        <w:rPr>
          <w:rFonts w:hint="eastAsia" w:ascii="黑体" w:hAnsi="黑体" w:eastAsia="黑体" w:cs="微软雅黑"/>
          <w:sz w:val="21"/>
          <w:szCs w:val="21"/>
          <w:vertAlign w:val="superscript"/>
        </w:rPr>
        <w:t>3</w:t>
      </w:r>
      <w:r>
        <w:rPr>
          <w:rFonts w:hint="eastAsia" w:ascii="黑体" w:hAnsi="黑体" w:eastAsia="黑体" w:cs="微软雅黑"/>
          <w:sz w:val="21"/>
          <w:szCs w:val="21"/>
        </w:rPr>
        <w:t>），时间/h，温度/℃。</w:t>
      </w:r>
    </w:p>
    <w:p>
      <w:pPr>
        <w:adjustRightInd w:val="0"/>
        <w:spacing w:before="156" w:beforeLines="50"/>
        <w:jc w:val="left"/>
        <w:rPr>
          <w:rFonts w:hint="eastAsia" w:ascii="黑体" w:hAnsi="黑体" w:eastAsia="黑体" w:cs="微软雅黑"/>
          <w:sz w:val="21"/>
          <w:szCs w:val="21"/>
        </w:rPr>
      </w:pPr>
      <w:r>
        <w:rPr>
          <w:rFonts w:hint="eastAsia" w:ascii="黑体" w:hAnsi="黑体" w:eastAsia="黑体" w:cs="微软雅黑"/>
          <w:sz w:val="21"/>
          <w:szCs w:val="21"/>
        </w:rPr>
        <w:t>7.同一列或是同一行的统一性质的数字，小数点后的位数保持一致。</w:t>
      </w:r>
    </w:p>
    <w:p>
      <w:pPr>
        <w:widowControl w:val="0"/>
        <w:spacing w:line="320" w:lineRule="exact"/>
        <w:jc w:val="both"/>
        <w:rPr>
          <w:sz w:val="18"/>
          <w:szCs w:val="18"/>
          <w:lang w:eastAsia="zh-CN"/>
        </w:rPr>
      </w:pPr>
    </w:p>
    <w:sectPr>
      <w:type w:val="continuous"/>
      <w:pgSz w:w="11900" w:h="16840"/>
      <w:pgMar w:top="1985" w:right="851" w:bottom="1134" w:left="1134"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DengXian Light">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DengXian">
    <w:altName w:val="Times New Roman"/>
    <w:panose1 w:val="00000000000000000000"/>
    <w:charset w:val="00"/>
    <w:family w:val="roman"/>
    <w:pitch w:val="default"/>
    <w:sig w:usb0="00000000" w:usb1="00000000" w:usb2="00000000" w:usb3="00000000" w:csb0="00000000" w:csb1="00000000"/>
  </w:font>
  <w:font w:name="华文黑体 Light">
    <w:altName w:val="方正舒体"/>
    <w:panose1 w:val="00000000000000000000"/>
    <w:charset w:val="86"/>
    <w:family w:val="auto"/>
    <w:pitch w:val="default"/>
    <w:sig w:usb0="00000000" w:usb1="00000000" w:usb2="0000001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纤雅宋_GBK">
    <w:panose1 w:val="02000000000000000000"/>
    <w:charset w:val="86"/>
    <w:family w:val="auto"/>
    <w:pitch w:val="default"/>
    <w:sig w:usb0="00000001" w:usb1="08000000" w:usb2="00000000" w:usb3="00000000" w:csb0="00040000" w:csb1="00000000"/>
  </w:font>
  <w:font w:name="HelveticaNeueLT Pro 45 Lt">
    <w:panose1 w:val="020B0403020202020204"/>
    <w:charset w:val="00"/>
    <w:family w:val="swiss"/>
    <w:pitch w:val="default"/>
    <w:sig w:usb0="800000AF" w:usb1="5000205B" w:usb2="00000000" w:usb3="00000000" w:csb0="2000009B" w:csb1="00000000"/>
  </w:font>
  <w:font w:name="方正兰亭纤黑_GBK">
    <w:panose1 w:val="02000000000000000000"/>
    <w:charset w:val="86"/>
    <w:family w:val="auto"/>
    <w:pitch w:val="default"/>
    <w:sig w:usb0="00000001" w:usb1="08000000" w:usb2="00000000" w:usb3="00000000" w:csb0="00040000" w:csb1="00000000"/>
  </w:font>
  <w:font w:name="方正兰亭准黑_GBK">
    <w:panose1 w:val="02000000000000000000"/>
    <w:charset w:val="86"/>
    <w:family w:val="auto"/>
    <w:pitch w:val="default"/>
    <w:sig w:usb0="800002BF" w:usb1="38CF7CFA" w:usb2="00082016" w:usb3="00000000" w:csb0="00040000" w:csb1="00000000"/>
  </w:font>
  <w:font w:name="方正中等线_GBK">
    <w:panose1 w:val="03000509000000000000"/>
    <w:charset w:val="86"/>
    <w:family w:val="script"/>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HelveticaNeueLT Pro 55 Roman">
    <w:panose1 w:val="020B0604020202020204"/>
    <w:charset w:val="00"/>
    <w:family w:val="swiss"/>
    <w:pitch w:val="default"/>
    <w:sig w:usb0="800000AF" w:usb1="5000205B" w:usb2="00000000" w:usb3="00000000" w:csb0="2000009B" w:csb1="00000000"/>
  </w:font>
  <w:font w:name="方正粗雅宋_GBK">
    <w:panose1 w:val="02000000000000000000"/>
    <w:charset w:val="86"/>
    <w:family w:val="auto"/>
    <w:pitch w:val="default"/>
    <w:sig w:usb0="00000001" w:usb1="08000000" w:usb2="00000000" w:usb3="00000000" w:csb0="00040000" w:csb1="00000000"/>
  </w:font>
  <w:font w:name="方正纤雅宋简体">
    <w:panose1 w:val="02000000000000000000"/>
    <w:charset w:val="86"/>
    <w:family w:val="auto"/>
    <w:pitch w:val="default"/>
    <w:sig w:usb0="00000001" w:usb1="08000000" w:usb2="00000000" w:usb3="00000000" w:csb0="00040000" w:csb1="00000000"/>
  </w:font>
  <w:font w:name="方正书宋简体">
    <w:panose1 w:val="03000509000000000000"/>
    <w:charset w:val="86"/>
    <w:family w:val="script"/>
    <w:pitch w:val="default"/>
    <w:sig w:usb0="00000001" w:usb1="080E0000" w:usb2="00000000" w:usb3="00000000" w:csb0="00040000" w:csb1="00000000"/>
  </w:font>
  <w:font w:name="方正宋一简体">
    <w:panose1 w:val="03000509000000000000"/>
    <w:charset w:val="86"/>
    <w:family w:val="script"/>
    <w:pitch w:val="default"/>
    <w:sig w:usb0="00000001" w:usb1="080E0000" w:usb2="00000000" w:usb3="00000000" w:csb0="00040000" w:csb1="00000000"/>
  </w:font>
  <w:font w:name="方正兰亭准黑简体">
    <w:panose1 w:val="02000000000000000000"/>
    <w:charset w:val="86"/>
    <w:family w:val="auto"/>
    <w:pitch w:val="default"/>
    <w:sig w:usb0="00000001" w:usb1="08000000" w:usb2="00000000" w:usb3="00000000" w:csb0="00040000" w:csb1="00000000"/>
  </w:font>
  <w:font w:name="苹方 常规">
    <w:panose1 w:val="020B0300000000000000"/>
    <w:charset w:val="86"/>
    <w:family w:val="swiss"/>
    <w:pitch w:val="default"/>
    <w:sig w:usb0="A00002FF" w:usb1="7ACFFCFB" w:usb2="00000016" w:usb3="00000000" w:csb0="00040001" w:csb1="00000000"/>
  </w:font>
  <w:font w:name="苹方 细体">
    <w:panose1 w:val="020B0200000000000000"/>
    <w:charset w:val="86"/>
    <w:family w:val="swiss"/>
    <w:pitch w:val="default"/>
    <w:sig w:usb0="A00002FF" w:usb1="7ACFFCFB"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948854"/>
    </w:sdtPr>
    <w:sdtContent>
      <w:sdt>
        <w:sdtPr>
          <w:id w:val="-895194927"/>
        </w:sdtPr>
        <w:sdtContent>
          <w:p>
            <w:pPr>
              <w:pStyle w:val="9"/>
              <w:jc w:val="right"/>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819B"/>
    <w:multiLevelType w:val="singleLevel"/>
    <w:tmpl w:val="568F819B"/>
    <w:lvl w:ilvl="0" w:tentative="0">
      <w:start w:val="1"/>
      <w:numFmt w:val="decimal"/>
      <w:suff w:val="nothing"/>
      <w:lvlText w:val="%1."/>
      <w:lvlJc w:val="left"/>
    </w:lvl>
  </w:abstractNum>
  <w:abstractNum w:abstractNumId="1">
    <w:nsid w:val="568F8403"/>
    <w:multiLevelType w:val="singleLevel"/>
    <w:tmpl w:val="568F840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0vd5zr9w2298es9ae50d0utwffpx9z25va&quot;&gt;My EndNote Library&lt;record-ids&gt;&lt;item&gt;1&lt;/item&gt;&lt;item&gt;2&lt;/item&gt;&lt;item&gt;4&lt;/item&gt;&lt;item&gt;5&lt;/item&gt;&lt;item&gt;6&lt;/item&gt;&lt;item&gt;7&lt;/item&gt;&lt;item&gt;8&lt;/item&gt;&lt;item&gt;9&lt;/item&gt;&lt;item&gt;10&lt;/item&gt;&lt;item&gt;11&lt;/item&gt;&lt;item&gt;12&lt;/item&gt;&lt;item&gt;14&lt;/item&gt;&lt;item&gt;15&lt;/item&gt;&lt;item&gt;16&lt;/item&gt;&lt;/record-ids&gt;&lt;/item&gt;&lt;/Libraries&gt;"/>
  </w:docVars>
  <w:rsids>
    <w:rsidRoot w:val="003A14D8"/>
    <w:rsid w:val="00005084"/>
    <w:rsid w:val="00011A3F"/>
    <w:rsid w:val="000127A9"/>
    <w:rsid w:val="00015A75"/>
    <w:rsid w:val="00035708"/>
    <w:rsid w:val="0004138C"/>
    <w:rsid w:val="0004232A"/>
    <w:rsid w:val="000448F5"/>
    <w:rsid w:val="00045523"/>
    <w:rsid w:val="0004650B"/>
    <w:rsid w:val="0005011A"/>
    <w:rsid w:val="00050E21"/>
    <w:rsid w:val="0005562E"/>
    <w:rsid w:val="000559D5"/>
    <w:rsid w:val="000609FA"/>
    <w:rsid w:val="0006104E"/>
    <w:rsid w:val="00063A15"/>
    <w:rsid w:val="00063DF1"/>
    <w:rsid w:val="00066758"/>
    <w:rsid w:val="000740A6"/>
    <w:rsid w:val="0007529A"/>
    <w:rsid w:val="00075A58"/>
    <w:rsid w:val="00080869"/>
    <w:rsid w:val="000823AA"/>
    <w:rsid w:val="0008548B"/>
    <w:rsid w:val="000862BB"/>
    <w:rsid w:val="00092C7F"/>
    <w:rsid w:val="000952C9"/>
    <w:rsid w:val="000A4D4F"/>
    <w:rsid w:val="000A7987"/>
    <w:rsid w:val="000B2CD8"/>
    <w:rsid w:val="000B76C6"/>
    <w:rsid w:val="000C1C58"/>
    <w:rsid w:val="000C20F9"/>
    <w:rsid w:val="000C28B6"/>
    <w:rsid w:val="000C7759"/>
    <w:rsid w:val="000C793A"/>
    <w:rsid w:val="000D4F21"/>
    <w:rsid w:val="000D7CA3"/>
    <w:rsid w:val="000E0510"/>
    <w:rsid w:val="000E2D9C"/>
    <w:rsid w:val="000F3B5F"/>
    <w:rsid w:val="000F7142"/>
    <w:rsid w:val="00101CF9"/>
    <w:rsid w:val="00101D15"/>
    <w:rsid w:val="00105FB7"/>
    <w:rsid w:val="00110C8B"/>
    <w:rsid w:val="00113D0D"/>
    <w:rsid w:val="001205CA"/>
    <w:rsid w:val="0012584E"/>
    <w:rsid w:val="00134D25"/>
    <w:rsid w:val="00136DCD"/>
    <w:rsid w:val="00144BE3"/>
    <w:rsid w:val="001458E8"/>
    <w:rsid w:val="00147B58"/>
    <w:rsid w:val="00154B8F"/>
    <w:rsid w:val="00160545"/>
    <w:rsid w:val="00171957"/>
    <w:rsid w:val="00174D7F"/>
    <w:rsid w:val="001824FB"/>
    <w:rsid w:val="00182D87"/>
    <w:rsid w:val="0018320E"/>
    <w:rsid w:val="0018585C"/>
    <w:rsid w:val="00186B79"/>
    <w:rsid w:val="001916D3"/>
    <w:rsid w:val="00192CE1"/>
    <w:rsid w:val="00194CBF"/>
    <w:rsid w:val="001A5268"/>
    <w:rsid w:val="001A53DC"/>
    <w:rsid w:val="001B0036"/>
    <w:rsid w:val="001B65B8"/>
    <w:rsid w:val="001C55DF"/>
    <w:rsid w:val="001D601C"/>
    <w:rsid w:val="001D6742"/>
    <w:rsid w:val="001E405D"/>
    <w:rsid w:val="001E498A"/>
    <w:rsid w:val="001E5598"/>
    <w:rsid w:val="001F1D9B"/>
    <w:rsid w:val="001F2685"/>
    <w:rsid w:val="001F3D3D"/>
    <w:rsid w:val="001F708C"/>
    <w:rsid w:val="001F7441"/>
    <w:rsid w:val="001F7BB0"/>
    <w:rsid w:val="00200EA1"/>
    <w:rsid w:val="00202FA9"/>
    <w:rsid w:val="00204422"/>
    <w:rsid w:val="00215868"/>
    <w:rsid w:val="00215ED4"/>
    <w:rsid w:val="00223D95"/>
    <w:rsid w:val="00230333"/>
    <w:rsid w:val="0023121F"/>
    <w:rsid w:val="00237982"/>
    <w:rsid w:val="00245F4D"/>
    <w:rsid w:val="00253A57"/>
    <w:rsid w:val="002544F2"/>
    <w:rsid w:val="00254555"/>
    <w:rsid w:val="00255A5D"/>
    <w:rsid w:val="002613F7"/>
    <w:rsid w:val="0026250F"/>
    <w:rsid w:val="00264E41"/>
    <w:rsid w:val="002704D0"/>
    <w:rsid w:val="0027331F"/>
    <w:rsid w:val="00274B0B"/>
    <w:rsid w:val="00276BEA"/>
    <w:rsid w:val="00293E62"/>
    <w:rsid w:val="002955FA"/>
    <w:rsid w:val="002A6CD8"/>
    <w:rsid w:val="002B105C"/>
    <w:rsid w:val="002B2431"/>
    <w:rsid w:val="002B255F"/>
    <w:rsid w:val="002B56C6"/>
    <w:rsid w:val="002C05AD"/>
    <w:rsid w:val="002C061F"/>
    <w:rsid w:val="002C6B0D"/>
    <w:rsid w:val="002D40B0"/>
    <w:rsid w:val="002D4B5C"/>
    <w:rsid w:val="002E10A8"/>
    <w:rsid w:val="002E1251"/>
    <w:rsid w:val="002E1B4B"/>
    <w:rsid w:val="002E2FA3"/>
    <w:rsid w:val="002E3802"/>
    <w:rsid w:val="002E3A95"/>
    <w:rsid w:val="002F121F"/>
    <w:rsid w:val="002F4DE1"/>
    <w:rsid w:val="002F6834"/>
    <w:rsid w:val="002F7AAB"/>
    <w:rsid w:val="003011F2"/>
    <w:rsid w:val="00305AC1"/>
    <w:rsid w:val="0031541D"/>
    <w:rsid w:val="00315F18"/>
    <w:rsid w:val="0031766A"/>
    <w:rsid w:val="003254AE"/>
    <w:rsid w:val="003261E8"/>
    <w:rsid w:val="00331649"/>
    <w:rsid w:val="00341849"/>
    <w:rsid w:val="003510A7"/>
    <w:rsid w:val="0035773B"/>
    <w:rsid w:val="003645CB"/>
    <w:rsid w:val="003655A7"/>
    <w:rsid w:val="00372782"/>
    <w:rsid w:val="00375B95"/>
    <w:rsid w:val="003A14D8"/>
    <w:rsid w:val="003B17C4"/>
    <w:rsid w:val="003B51C0"/>
    <w:rsid w:val="003B6670"/>
    <w:rsid w:val="003C258A"/>
    <w:rsid w:val="003C49C4"/>
    <w:rsid w:val="003C4C74"/>
    <w:rsid w:val="003C5AC7"/>
    <w:rsid w:val="003D309F"/>
    <w:rsid w:val="003E29C8"/>
    <w:rsid w:val="003E5A5C"/>
    <w:rsid w:val="003F0404"/>
    <w:rsid w:val="003F2680"/>
    <w:rsid w:val="003F2EA1"/>
    <w:rsid w:val="003F74CC"/>
    <w:rsid w:val="00403382"/>
    <w:rsid w:val="00405D88"/>
    <w:rsid w:val="00407C67"/>
    <w:rsid w:val="00413AD8"/>
    <w:rsid w:val="00416C57"/>
    <w:rsid w:val="0042204C"/>
    <w:rsid w:val="00424882"/>
    <w:rsid w:val="00424EB8"/>
    <w:rsid w:val="00426D72"/>
    <w:rsid w:val="00430F15"/>
    <w:rsid w:val="004321C1"/>
    <w:rsid w:val="00434FCC"/>
    <w:rsid w:val="0044287E"/>
    <w:rsid w:val="00452D0B"/>
    <w:rsid w:val="00455B20"/>
    <w:rsid w:val="0046663A"/>
    <w:rsid w:val="0046694C"/>
    <w:rsid w:val="004743A1"/>
    <w:rsid w:val="00482797"/>
    <w:rsid w:val="004846BC"/>
    <w:rsid w:val="0049183F"/>
    <w:rsid w:val="004B39AC"/>
    <w:rsid w:val="004B4258"/>
    <w:rsid w:val="004D2943"/>
    <w:rsid w:val="004D5B2D"/>
    <w:rsid w:val="004E230F"/>
    <w:rsid w:val="004E71AD"/>
    <w:rsid w:val="004F369D"/>
    <w:rsid w:val="00503EAC"/>
    <w:rsid w:val="0050438C"/>
    <w:rsid w:val="005056E0"/>
    <w:rsid w:val="00517B64"/>
    <w:rsid w:val="005340F6"/>
    <w:rsid w:val="00535104"/>
    <w:rsid w:val="00541D14"/>
    <w:rsid w:val="0054685E"/>
    <w:rsid w:val="00550324"/>
    <w:rsid w:val="00556959"/>
    <w:rsid w:val="005572C6"/>
    <w:rsid w:val="0056204C"/>
    <w:rsid w:val="00563530"/>
    <w:rsid w:val="0056624B"/>
    <w:rsid w:val="0057074D"/>
    <w:rsid w:val="00571585"/>
    <w:rsid w:val="00573C19"/>
    <w:rsid w:val="00575860"/>
    <w:rsid w:val="005814C2"/>
    <w:rsid w:val="00583932"/>
    <w:rsid w:val="00583ED8"/>
    <w:rsid w:val="005850F5"/>
    <w:rsid w:val="00592828"/>
    <w:rsid w:val="00592EF6"/>
    <w:rsid w:val="005A15A2"/>
    <w:rsid w:val="005A2E4F"/>
    <w:rsid w:val="005A4A98"/>
    <w:rsid w:val="005B119B"/>
    <w:rsid w:val="005B2074"/>
    <w:rsid w:val="005B242D"/>
    <w:rsid w:val="005B25DB"/>
    <w:rsid w:val="005B36BF"/>
    <w:rsid w:val="005B45CD"/>
    <w:rsid w:val="005B4D8C"/>
    <w:rsid w:val="005B6490"/>
    <w:rsid w:val="005C0547"/>
    <w:rsid w:val="005C0933"/>
    <w:rsid w:val="005C22DB"/>
    <w:rsid w:val="005C3166"/>
    <w:rsid w:val="005C5ADC"/>
    <w:rsid w:val="005D0E31"/>
    <w:rsid w:val="005E1183"/>
    <w:rsid w:val="005E3954"/>
    <w:rsid w:val="005E4B2F"/>
    <w:rsid w:val="005F66BE"/>
    <w:rsid w:val="005F706A"/>
    <w:rsid w:val="005F79EA"/>
    <w:rsid w:val="00603035"/>
    <w:rsid w:val="00616462"/>
    <w:rsid w:val="006212C8"/>
    <w:rsid w:val="006273AD"/>
    <w:rsid w:val="00632644"/>
    <w:rsid w:val="00632E56"/>
    <w:rsid w:val="00634524"/>
    <w:rsid w:val="00646D21"/>
    <w:rsid w:val="0066213C"/>
    <w:rsid w:val="00667854"/>
    <w:rsid w:val="00670517"/>
    <w:rsid w:val="00671C3F"/>
    <w:rsid w:val="00676BC5"/>
    <w:rsid w:val="00680463"/>
    <w:rsid w:val="0068137E"/>
    <w:rsid w:val="00682835"/>
    <w:rsid w:val="00683086"/>
    <w:rsid w:val="00683A26"/>
    <w:rsid w:val="0068474F"/>
    <w:rsid w:val="00684D90"/>
    <w:rsid w:val="00693115"/>
    <w:rsid w:val="00694030"/>
    <w:rsid w:val="006970F3"/>
    <w:rsid w:val="006A0172"/>
    <w:rsid w:val="006A37A1"/>
    <w:rsid w:val="006B4251"/>
    <w:rsid w:val="006B6FB6"/>
    <w:rsid w:val="006B7058"/>
    <w:rsid w:val="006C5B6A"/>
    <w:rsid w:val="006D24B3"/>
    <w:rsid w:val="006D2C03"/>
    <w:rsid w:val="006D6948"/>
    <w:rsid w:val="006E09BB"/>
    <w:rsid w:val="006F4708"/>
    <w:rsid w:val="00706B07"/>
    <w:rsid w:val="00711B8F"/>
    <w:rsid w:val="0073584F"/>
    <w:rsid w:val="00744AF1"/>
    <w:rsid w:val="00744D0E"/>
    <w:rsid w:val="0074665B"/>
    <w:rsid w:val="0074669B"/>
    <w:rsid w:val="007608FA"/>
    <w:rsid w:val="0076106A"/>
    <w:rsid w:val="007618E0"/>
    <w:rsid w:val="00764919"/>
    <w:rsid w:val="00771247"/>
    <w:rsid w:val="00784940"/>
    <w:rsid w:val="00787D68"/>
    <w:rsid w:val="00790B54"/>
    <w:rsid w:val="00794F04"/>
    <w:rsid w:val="0079515E"/>
    <w:rsid w:val="007B107C"/>
    <w:rsid w:val="007B5948"/>
    <w:rsid w:val="007B6868"/>
    <w:rsid w:val="007C1F8A"/>
    <w:rsid w:val="007C5168"/>
    <w:rsid w:val="007D400E"/>
    <w:rsid w:val="007D6F4B"/>
    <w:rsid w:val="007E1609"/>
    <w:rsid w:val="00800C56"/>
    <w:rsid w:val="008021C2"/>
    <w:rsid w:val="008031C3"/>
    <w:rsid w:val="0081532C"/>
    <w:rsid w:val="00817168"/>
    <w:rsid w:val="008219F7"/>
    <w:rsid w:val="00825B4C"/>
    <w:rsid w:val="0084142A"/>
    <w:rsid w:val="0084397F"/>
    <w:rsid w:val="00844E1A"/>
    <w:rsid w:val="00845568"/>
    <w:rsid w:val="008527AD"/>
    <w:rsid w:val="0085793C"/>
    <w:rsid w:val="008612AC"/>
    <w:rsid w:val="008642A3"/>
    <w:rsid w:val="008660A3"/>
    <w:rsid w:val="00872A89"/>
    <w:rsid w:val="0087716C"/>
    <w:rsid w:val="00880ADE"/>
    <w:rsid w:val="0088124F"/>
    <w:rsid w:val="0088502F"/>
    <w:rsid w:val="00886974"/>
    <w:rsid w:val="00893197"/>
    <w:rsid w:val="008947B7"/>
    <w:rsid w:val="008A308D"/>
    <w:rsid w:val="008A521D"/>
    <w:rsid w:val="008A5FEF"/>
    <w:rsid w:val="008A71ED"/>
    <w:rsid w:val="008B23FA"/>
    <w:rsid w:val="008B672E"/>
    <w:rsid w:val="008B7FE1"/>
    <w:rsid w:val="008C1316"/>
    <w:rsid w:val="008C1364"/>
    <w:rsid w:val="008C309E"/>
    <w:rsid w:val="008D3B2D"/>
    <w:rsid w:val="008D5B49"/>
    <w:rsid w:val="008D5B86"/>
    <w:rsid w:val="008D65F0"/>
    <w:rsid w:val="008D773A"/>
    <w:rsid w:val="008F2BFE"/>
    <w:rsid w:val="008F3010"/>
    <w:rsid w:val="0090111C"/>
    <w:rsid w:val="00901A05"/>
    <w:rsid w:val="00905758"/>
    <w:rsid w:val="009073C0"/>
    <w:rsid w:val="00907F80"/>
    <w:rsid w:val="00914148"/>
    <w:rsid w:val="0093011D"/>
    <w:rsid w:val="00940548"/>
    <w:rsid w:val="009448DF"/>
    <w:rsid w:val="00945DCD"/>
    <w:rsid w:val="0095484F"/>
    <w:rsid w:val="00957841"/>
    <w:rsid w:val="00964437"/>
    <w:rsid w:val="00975719"/>
    <w:rsid w:val="00976322"/>
    <w:rsid w:val="00987C21"/>
    <w:rsid w:val="0099350A"/>
    <w:rsid w:val="009A408A"/>
    <w:rsid w:val="009A7FC7"/>
    <w:rsid w:val="009B3A73"/>
    <w:rsid w:val="009C0032"/>
    <w:rsid w:val="009C27F0"/>
    <w:rsid w:val="009C51FB"/>
    <w:rsid w:val="009C6857"/>
    <w:rsid w:val="009C6B6A"/>
    <w:rsid w:val="009C6E8B"/>
    <w:rsid w:val="009C6EEF"/>
    <w:rsid w:val="009D1381"/>
    <w:rsid w:val="009D2FB3"/>
    <w:rsid w:val="009D798F"/>
    <w:rsid w:val="009E5942"/>
    <w:rsid w:val="009E5C91"/>
    <w:rsid w:val="009E604C"/>
    <w:rsid w:val="009F2B35"/>
    <w:rsid w:val="009F5583"/>
    <w:rsid w:val="009F7736"/>
    <w:rsid w:val="00A01C98"/>
    <w:rsid w:val="00A04EE4"/>
    <w:rsid w:val="00A167EE"/>
    <w:rsid w:val="00A20B90"/>
    <w:rsid w:val="00A21400"/>
    <w:rsid w:val="00A23769"/>
    <w:rsid w:val="00A255E1"/>
    <w:rsid w:val="00A274A5"/>
    <w:rsid w:val="00A30119"/>
    <w:rsid w:val="00A35A2A"/>
    <w:rsid w:val="00A44321"/>
    <w:rsid w:val="00A52207"/>
    <w:rsid w:val="00A5329F"/>
    <w:rsid w:val="00A53E99"/>
    <w:rsid w:val="00A56DA7"/>
    <w:rsid w:val="00A57970"/>
    <w:rsid w:val="00A64527"/>
    <w:rsid w:val="00A64967"/>
    <w:rsid w:val="00A70739"/>
    <w:rsid w:val="00A83089"/>
    <w:rsid w:val="00A85093"/>
    <w:rsid w:val="00A90F00"/>
    <w:rsid w:val="00A9230F"/>
    <w:rsid w:val="00AA271C"/>
    <w:rsid w:val="00AA2F63"/>
    <w:rsid w:val="00AA6EE2"/>
    <w:rsid w:val="00AB725E"/>
    <w:rsid w:val="00AB72B2"/>
    <w:rsid w:val="00AC1E73"/>
    <w:rsid w:val="00AC3372"/>
    <w:rsid w:val="00AC4D5C"/>
    <w:rsid w:val="00AD63BD"/>
    <w:rsid w:val="00AE1C85"/>
    <w:rsid w:val="00AE4BB4"/>
    <w:rsid w:val="00AE534B"/>
    <w:rsid w:val="00AE666D"/>
    <w:rsid w:val="00AF5504"/>
    <w:rsid w:val="00AF5FE5"/>
    <w:rsid w:val="00AF61BE"/>
    <w:rsid w:val="00B20480"/>
    <w:rsid w:val="00B244B8"/>
    <w:rsid w:val="00B322EF"/>
    <w:rsid w:val="00B3681E"/>
    <w:rsid w:val="00B42C77"/>
    <w:rsid w:val="00B43584"/>
    <w:rsid w:val="00B43747"/>
    <w:rsid w:val="00B45250"/>
    <w:rsid w:val="00B4577A"/>
    <w:rsid w:val="00B62F7E"/>
    <w:rsid w:val="00B63153"/>
    <w:rsid w:val="00B6334E"/>
    <w:rsid w:val="00B642C1"/>
    <w:rsid w:val="00B64FF3"/>
    <w:rsid w:val="00B7555F"/>
    <w:rsid w:val="00B76585"/>
    <w:rsid w:val="00B83FB1"/>
    <w:rsid w:val="00B90E34"/>
    <w:rsid w:val="00B913EA"/>
    <w:rsid w:val="00BA14CE"/>
    <w:rsid w:val="00BA1C1E"/>
    <w:rsid w:val="00BA3437"/>
    <w:rsid w:val="00BA3D63"/>
    <w:rsid w:val="00BA7139"/>
    <w:rsid w:val="00BA7993"/>
    <w:rsid w:val="00BB0F45"/>
    <w:rsid w:val="00BB5C17"/>
    <w:rsid w:val="00BB6DD3"/>
    <w:rsid w:val="00BC5F4B"/>
    <w:rsid w:val="00BD4DD0"/>
    <w:rsid w:val="00BD7F83"/>
    <w:rsid w:val="00BE2173"/>
    <w:rsid w:val="00BE394C"/>
    <w:rsid w:val="00BE4906"/>
    <w:rsid w:val="00BE66A3"/>
    <w:rsid w:val="00BE7375"/>
    <w:rsid w:val="00BF16CC"/>
    <w:rsid w:val="00BF5454"/>
    <w:rsid w:val="00BF5B0A"/>
    <w:rsid w:val="00C0472A"/>
    <w:rsid w:val="00C05058"/>
    <w:rsid w:val="00C1058B"/>
    <w:rsid w:val="00C111C4"/>
    <w:rsid w:val="00C15677"/>
    <w:rsid w:val="00C21E9D"/>
    <w:rsid w:val="00C223EB"/>
    <w:rsid w:val="00C24348"/>
    <w:rsid w:val="00C2525A"/>
    <w:rsid w:val="00C26DE4"/>
    <w:rsid w:val="00C301D5"/>
    <w:rsid w:val="00C31896"/>
    <w:rsid w:val="00C36BF8"/>
    <w:rsid w:val="00C40C89"/>
    <w:rsid w:val="00C43570"/>
    <w:rsid w:val="00C50117"/>
    <w:rsid w:val="00C52323"/>
    <w:rsid w:val="00C525DC"/>
    <w:rsid w:val="00C52760"/>
    <w:rsid w:val="00C6714A"/>
    <w:rsid w:val="00C70165"/>
    <w:rsid w:val="00C8017E"/>
    <w:rsid w:val="00C8555F"/>
    <w:rsid w:val="00C86433"/>
    <w:rsid w:val="00C9047A"/>
    <w:rsid w:val="00C917D6"/>
    <w:rsid w:val="00CA1DA3"/>
    <w:rsid w:val="00CA4496"/>
    <w:rsid w:val="00CA6F20"/>
    <w:rsid w:val="00CB15C5"/>
    <w:rsid w:val="00CB5688"/>
    <w:rsid w:val="00CB590B"/>
    <w:rsid w:val="00CB6A3C"/>
    <w:rsid w:val="00CC0FF5"/>
    <w:rsid w:val="00CC525D"/>
    <w:rsid w:val="00CC7599"/>
    <w:rsid w:val="00CD0378"/>
    <w:rsid w:val="00CD3BBB"/>
    <w:rsid w:val="00CE2152"/>
    <w:rsid w:val="00CE5AE2"/>
    <w:rsid w:val="00CF41A5"/>
    <w:rsid w:val="00D01524"/>
    <w:rsid w:val="00D0652C"/>
    <w:rsid w:val="00D069E8"/>
    <w:rsid w:val="00D142BD"/>
    <w:rsid w:val="00D14FEE"/>
    <w:rsid w:val="00D1580F"/>
    <w:rsid w:val="00D15A41"/>
    <w:rsid w:val="00D166A0"/>
    <w:rsid w:val="00D2214A"/>
    <w:rsid w:val="00D2379B"/>
    <w:rsid w:val="00D23FFE"/>
    <w:rsid w:val="00D248BE"/>
    <w:rsid w:val="00D257E8"/>
    <w:rsid w:val="00D26F30"/>
    <w:rsid w:val="00D4628E"/>
    <w:rsid w:val="00D55A4F"/>
    <w:rsid w:val="00D6690A"/>
    <w:rsid w:val="00D73B50"/>
    <w:rsid w:val="00D73B8E"/>
    <w:rsid w:val="00D74AA1"/>
    <w:rsid w:val="00D7624A"/>
    <w:rsid w:val="00D80D9C"/>
    <w:rsid w:val="00D91580"/>
    <w:rsid w:val="00D93FA1"/>
    <w:rsid w:val="00DA5987"/>
    <w:rsid w:val="00DB4B9D"/>
    <w:rsid w:val="00DC58C1"/>
    <w:rsid w:val="00DD1CA9"/>
    <w:rsid w:val="00DD4DCF"/>
    <w:rsid w:val="00DE6A67"/>
    <w:rsid w:val="00DF42E3"/>
    <w:rsid w:val="00E035CC"/>
    <w:rsid w:val="00E050E8"/>
    <w:rsid w:val="00E12539"/>
    <w:rsid w:val="00E1328C"/>
    <w:rsid w:val="00E1448D"/>
    <w:rsid w:val="00E20D10"/>
    <w:rsid w:val="00E22EE4"/>
    <w:rsid w:val="00E239F9"/>
    <w:rsid w:val="00E23D29"/>
    <w:rsid w:val="00E25D78"/>
    <w:rsid w:val="00E31FD0"/>
    <w:rsid w:val="00E35FD8"/>
    <w:rsid w:val="00E40770"/>
    <w:rsid w:val="00E44B8C"/>
    <w:rsid w:val="00E4610B"/>
    <w:rsid w:val="00E468A8"/>
    <w:rsid w:val="00E51FFE"/>
    <w:rsid w:val="00E53A38"/>
    <w:rsid w:val="00E5436E"/>
    <w:rsid w:val="00E7652E"/>
    <w:rsid w:val="00E86828"/>
    <w:rsid w:val="00E902AE"/>
    <w:rsid w:val="00E918B1"/>
    <w:rsid w:val="00E93B99"/>
    <w:rsid w:val="00EA77BD"/>
    <w:rsid w:val="00EB3B00"/>
    <w:rsid w:val="00EB49A4"/>
    <w:rsid w:val="00EC19DB"/>
    <w:rsid w:val="00EC615B"/>
    <w:rsid w:val="00ED07EA"/>
    <w:rsid w:val="00ED4802"/>
    <w:rsid w:val="00ED6D40"/>
    <w:rsid w:val="00ED70D2"/>
    <w:rsid w:val="00EE28C4"/>
    <w:rsid w:val="00EE5468"/>
    <w:rsid w:val="00EE70A2"/>
    <w:rsid w:val="00F100E6"/>
    <w:rsid w:val="00F106FF"/>
    <w:rsid w:val="00F12847"/>
    <w:rsid w:val="00F144C4"/>
    <w:rsid w:val="00F232ED"/>
    <w:rsid w:val="00F2514D"/>
    <w:rsid w:val="00F25FC9"/>
    <w:rsid w:val="00F2760E"/>
    <w:rsid w:val="00F3563F"/>
    <w:rsid w:val="00F3567F"/>
    <w:rsid w:val="00F36A35"/>
    <w:rsid w:val="00F417FC"/>
    <w:rsid w:val="00F43C31"/>
    <w:rsid w:val="00F46109"/>
    <w:rsid w:val="00F46EBE"/>
    <w:rsid w:val="00F47438"/>
    <w:rsid w:val="00F475AB"/>
    <w:rsid w:val="00F478A2"/>
    <w:rsid w:val="00F52DBD"/>
    <w:rsid w:val="00F67DC1"/>
    <w:rsid w:val="00F73AC3"/>
    <w:rsid w:val="00F74235"/>
    <w:rsid w:val="00F74695"/>
    <w:rsid w:val="00F77059"/>
    <w:rsid w:val="00F853AF"/>
    <w:rsid w:val="00F9103A"/>
    <w:rsid w:val="00F95EE3"/>
    <w:rsid w:val="00FA7287"/>
    <w:rsid w:val="00FC2761"/>
    <w:rsid w:val="00FC336A"/>
    <w:rsid w:val="00FC4287"/>
    <w:rsid w:val="00FC4EAA"/>
    <w:rsid w:val="00FE6581"/>
    <w:rsid w:val="00FF1E0B"/>
    <w:rsid w:val="00FF285B"/>
    <w:rsid w:val="00FF3389"/>
    <w:rsid w:val="00FF415D"/>
    <w:rsid w:val="00FF442D"/>
    <w:rsid w:val="06BD0991"/>
    <w:rsid w:val="1BEB4FAE"/>
    <w:rsid w:val="395C2285"/>
    <w:rsid w:val="3D803939"/>
    <w:rsid w:val="54B46546"/>
    <w:rsid w:val="595062C0"/>
    <w:rsid w:val="597C0A1D"/>
    <w:rsid w:val="5D286E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en-US"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annotation text"/>
    <w:basedOn w:val="1"/>
    <w:link w:val="32"/>
    <w:unhideWhenUsed/>
    <w:qFormat/>
    <w:uiPriority w:val="99"/>
  </w:style>
  <w:style w:type="paragraph" w:styleId="6">
    <w:name w:val="Plain Text"/>
    <w:basedOn w:val="1"/>
    <w:link w:val="40"/>
    <w:unhideWhenUsed/>
    <w:qFormat/>
    <w:uiPriority w:val="99"/>
    <w:pPr>
      <w:widowControl w:val="0"/>
      <w:jc w:val="both"/>
    </w:pPr>
    <w:rPr>
      <w:rFonts w:ascii="宋体" w:hAnsi="Courier New" w:cs="Courier New"/>
      <w:kern w:val="2"/>
      <w:sz w:val="21"/>
      <w:szCs w:val="21"/>
      <w:lang w:eastAsia="zh-CN"/>
    </w:rPr>
  </w:style>
  <w:style w:type="paragraph" w:styleId="7">
    <w:name w:val="endnote text"/>
    <w:basedOn w:val="1"/>
    <w:link w:val="41"/>
    <w:unhideWhenUsed/>
    <w:qFormat/>
    <w:uiPriority w:val="99"/>
    <w:pPr>
      <w:snapToGrid w:val="0"/>
    </w:pPr>
    <w:rPr>
      <w:rFonts w:ascii="Arial Unicode MS" w:hAnsi="Arial Unicode MS" w:eastAsia="Arial Unicode MS" w:cs="Arial Unicode MS"/>
      <w:color w:val="000000"/>
      <w:sz w:val="22"/>
      <w:u w:color="000000"/>
      <w:lang w:val="zh-TW" w:eastAsia="zh-TW"/>
    </w:rPr>
  </w:style>
  <w:style w:type="paragraph" w:styleId="8">
    <w:name w:val="Balloon Text"/>
    <w:basedOn w:val="1"/>
    <w:link w:val="31"/>
    <w:unhideWhenUsed/>
    <w:qFormat/>
    <w:uiPriority w:val="99"/>
    <w:rPr>
      <w:sz w:val="18"/>
      <w:szCs w:val="18"/>
    </w:rPr>
  </w:style>
  <w:style w:type="paragraph" w:styleId="9">
    <w:name w:val="footer"/>
    <w:basedOn w:val="1"/>
    <w:link w:val="35"/>
    <w:unhideWhenUsed/>
    <w:qFormat/>
    <w:uiPriority w:val="99"/>
    <w:pPr>
      <w:tabs>
        <w:tab w:val="center" w:pos="4153"/>
        <w:tab w:val="right" w:pos="8306"/>
      </w:tabs>
      <w:snapToGrid w:val="0"/>
    </w:pPr>
    <w:rPr>
      <w:sz w:val="18"/>
      <w:szCs w:val="18"/>
    </w:rPr>
  </w:style>
  <w:style w:type="paragraph" w:styleId="10">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unhideWhenUsed/>
    <w:qFormat/>
    <w:uiPriority w:val="99"/>
    <w:pPr>
      <w:snapToGrid w:val="0"/>
    </w:pPr>
    <w:rPr>
      <w:sz w:val="18"/>
      <w:szCs w:val="18"/>
    </w:rPr>
  </w:style>
  <w:style w:type="paragraph" w:styleId="12">
    <w:name w:val="Normal (Web)"/>
    <w:basedOn w:val="1"/>
    <w:unhideWhenUsed/>
    <w:qFormat/>
    <w:uiPriority w:val="99"/>
    <w:pPr>
      <w:spacing w:before="100" w:beforeAutospacing="1" w:after="100" w:afterAutospacing="1"/>
    </w:pPr>
    <w:rPr>
      <w:rFonts w:ascii="宋体" w:hAnsi="宋体" w:cs="宋体"/>
      <w:lang w:eastAsia="zh-CN"/>
    </w:rPr>
  </w:style>
  <w:style w:type="paragraph" w:styleId="13">
    <w:name w:val="annotation subject"/>
    <w:basedOn w:val="5"/>
    <w:next w:val="5"/>
    <w:link w:val="33"/>
    <w:unhideWhenUsed/>
    <w:qFormat/>
    <w:uiPriority w:val="99"/>
    <w:rPr>
      <w:b/>
      <w:bCs/>
    </w:rPr>
  </w:style>
  <w:style w:type="table" w:styleId="15">
    <w:name w:val="Table Grid"/>
    <w:basedOn w:val="14"/>
    <w:qFormat/>
    <w:uiPriority w:val="59"/>
    <w:rPr>
      <w:rFonts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Medium Shading 2 Accent 5"/>
    <w:basedOn w:val="14"/>
    <w:qFormat/>
    <w:uiPriority w:val="64"/>
    <w:rPr>
      <w:rFonts w:eastAsiaTheme="minorEastAsia"/>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000000"/>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5B9BD5"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basedOn w:val="17"/>
    <w:unhideWhenUsed/>
    <w:qFormat/>
    <w:uiPriority w:val="99"/>
    <w:rPr>
      <w:sz w:val="21"/>
      <w:szCs w:val="21"/>
    </w:rPr>
  </w:style>
  <w:style w:type="character" w:styleId="22">
    <w:name w:val="footnote reference"/>
    <w:basedOn w:val="17"/>
    <w:unhideWhenUsed/>
    <w:qFormat/>
    <w:uiPriority w:val="99"/>
    <w:rPr>
      <w:vertAlign w:val="superscript"/>
    </w:rPr>
  </w:style>
  <w:style w:type="paragraph" w:styleId="23">
    <w:name w:val="List Paragraph"/>
    <w:basedOn w:val="1"/>
    <w:qFormat/>
    <w:uiPriority w:val="34"/>
    <w:pPr>
      <w:ind w:left="720"/>
      <w:contextualSpacing/>
    </w:pPr>
  </w:style>
  <w:style w:type="table" w:customStyle="1" w:styleId="24">
    <w:name w:val="Plain Table 2"/>
    <w:basedOn w:val="14"/>
    <w:qFormat/>
    <w:uiPriority w:val="42"/>
    <w:rPr>
      <w:rFonts w:eastAsiaTheme="minorEastAsia"/>
      <w:kern w:val="2"/>
    </w:rPr>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5">
    <w:name w:val="标题 2 Char"/>
    <w:basedOn w:val="17"/>
    <w:link w:val="3"/>
    <w:qFormat/>
    <w:uiPriority w:val="9"/>
    <w:rPr>
      <w:rFonts w:asciiTheme="majorHAnsi" w:hAnsiTheme="majorHAnsi" w:eastAsiaTheme="majorEastAsia" w:cstheme="majorBidi"/>
      <w:b/>
      <w:bCs/>
      <w:sz w:val="32"/>
      <w:szCs w:val="32"/>
    </w:rPr>
  </w:style>
  <w:style w:type="character" w:customStyle="1" w:styleId="26">
    <w:name w:val="标题 1 Char"/>
    <w:basedOn w:val="17"/>
    <w:link w:val="2"/>
    <w:qFormat/>
    <w:uiPriority w:val="9"/>
    <w:rPr>
      <w:b/>
      <w:bCs/>
      <w:kern w:val="44"/>
      <w:sz w:val="44"/>
      <w:szCs w:val="44"/>
    </w:rPr>
  </w:style>
  <w:style w:type="paragraph" w:customStyle="1" w:styleId="27">
    <w:name w:val="EndNote Bibliography Title"/>
    <w:basedOn w:val="1"/>
    <w:link w:val="28"/>
    <w:qFormat/>
    <w:uiPriority w:val="0"/>
    <w:pPr>
      <w:jc w:val="center"/>
    </w:pPr>
    <w:rPr>
      <w:rFonts w:ascii="Calibri" w:hAnsi="Calibri"/>
    </w:rPr>
  </w:style>
  <w:style w:type="character" w:customStyle="1" w:styleId="28">
    <w:name w:val="EndNote Bibliography Title Char"/>
    <w:basedOn w:val="17"/>
    <w:link w:val="27"/>
    <w:qFormat/>
    <w:uiPriority w:val="0"/>
    <w:rPr>
      <w:rFonts w:ascii="Calibri" w:hAnsi="Calibri"/>
    </w:rPr>
  </w:style>
  <w:style w:type="paragraph" w:customStyle="1" w:styleId="29">
    <w:name w:val="EndNote Bibliography"/>
    <w:basedOn w:val="1"/>
    <w:link w:val="30"/>
    <w:qFormat/>
    <w:uiPriority w:val="0"/>
    <w:rPr>
      <w:rFonts w:ascii="Calibri" w:hAnsi="Calibri"/>
    </w:rPr>
  </w:style>
  <w:style w:type="character" w:customStyle="1" w:styleId="30">
    <w:name w:val="EndNote Bibliography Char"/>
    <w:basedOn w:val="17"/>
    <w:link w:val="29"/>
    <w:qFormat/>
    <w:uiPriority w:val="0"/>
    <w:rPr>
      <w:rFonts w:ascii="Calibri" w:hAnsi="Calibri"/>
    </w:rPr>
  </w:style>
  <w:style w:type="character" w:customStyle="1" w:styleId="31">
    <w:name w:val="批注框文本 Char"/>
    <w:basedOn w:val="17"/>
    <w:link w:val="8"/>
    <w:semiHidden/>
    <w:qFormat/>
    <w:uiPriority w:val="99"/>
    <w:rPr>
      <w:sz w:val="18"/>
      <w:szCs w:val="18"/>
    </w:rPr>
  </w:style>
  <w:style w:type="character" w:customStyle="1" w:styleId="32">
    <w:name w:val="批注文字 Char"/>
    <w:basedOn w:val="17"/>
    <w:link w:val="5"/>
    <w:semiHidden/>
    <w:qFormat/>
    <w:uiPriority w:val="99"/>
  </w:style>
  <w:style w:type="character" w:customStyle="1" w:styleId="33">
    <w:name w:val="批注主题 Char"/>
    <w:basedOn w:val="32"/>
    <w:link w:val="13"/>
    <w:semiHidden/>
    <w:qFormat/>
    <w:uiPriority w:val="99"/>
    <w:rPr>
      <w:b/>
      <w:bCs/>
    </w:rPr>
  </w:style>
  <w:style w:type="character" w:customStyle="1" w:styleId="34">
    <w:name w:val="页眉 Char"/>
    <w:basedOn w:val="17"/>
    <w:link w:val="10"/>
    <w:qFormat/>
    <w:uiPriority w:val="99"/>
    <w:rPr>
      <w:sz w:val="18"/>
      <w:szCs w:val="18"/>
    </w:rPr>
  </w:style>
  <w:style w:type="character" w:customStyle="1" w:styleId="35">
    <w:name w:val="页脚 Char"/>
    <w:basedOn w:val="17"/>
    <w:link w:val="9"/>
    <w:qFormat/>
    <w:uiPriority w:val="99"/>
    <w:rPr>
      <w:sz w:val="18"/>
      <w:szCs w:val="18"/>
    </w:rPr>
  </w:style>
  <w:style w:type="character" w:customStyle="1" w:styleId="36">
    <w:name w:val="op_dict_text2"/>
    <w:basedOn w:val="17"/>
    <w:qFormat/>
    <w:uiPriority w:val="0"/>
  </w:style>
  <w:style w:type="character" w:customStyle="1" w:styleId="37">
    <w:name w:val="脚注文本 Char"/>
    <w:basedOn w:val="17"/>
    <w:link w:val="11"/>
    <w:qFormat/>
    <w:uiPriority w:val="99"/>
    <w:rPr>
      <w:sz w:val="18"/>
      <w:szCs w:val="18"/>
    </w:rPr>
  </w:style>
  <w:style w:type="paragraph" w:customStyle="1" w:styleId="38">
    <w:name w:val="[基本段落]"/>
    <w:basedOn w:val="1"/>
    <w:qFormat/>
    <w:uiPriority w:val="99"/>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lang w:val="zh-CN" w:eastAsia="zh-CN"/>
    </w:rPr>
  </w:style>
  <w:style w:type="character" w:customStyle="1" w:styleId="39">
    <w:name w:val="apple-converted-space"/>
    <w:basedOn w:val="17"/>
    <w:qFormat/>
    <w:uiPriority w:val="0"/>
  </w:style>
  <w:style w:type="character" w:customStyle="1" w:styleId="40">
    <w:name w:val="纯文本 Char"/>
    <w:basedOn w:val="17"/>
    <w:link w:val="6"/>
    <w:qFormat/>
    <w:uiPriority w:val="99"/>
    <w:rPr>
      <w:rFonts w:ascii="宋体" w:hAnsi="Courier New" w:cs="Courier New"/>
      <w:kern w:val="2"/>
      <w:sz w:val="21"/>
      <w:szCs w:val="21"/>
      <w:lang w:eastAsia="zh-CN"/>
    </w:rPr>
  </w:style>
  <w:style w:type="character" w:customStyle="1" w:styleId="41">
    <w:name w:val="尾注文本 Char1"/>
    <w:link w:val="7"/>
    <w:qFormat/>
    <w:uiPriority w:val="99"/>
    <w:rPr>
      <w:rFonts w:ascii="Arial Unicode MS" w:hAnsi="Arial Unicode MS" w:eastAsia="Arial Unicode MS" w:cs="Arial Unicode MS"/>
      <w:color w:val="000000"/>
      <w:sz w:val="22"/>
      <w:u w:color="000000"/>
      <w:lang w:val="zh-TW" w:eastAsia="zh-TW"/>
    </w:rPr>
  </w:style>
  <w:style w:type="character" w:customStyle="1" w:styleId="42">
    <w:name w:val="尾注文本 Char"/>
    <w:basedOn w:val="17"/>
    <w:semiHidden/>
    <w:qFormat/>
    <w:uiPriority w:val="99"/>
  </w:style>
  <w:style w:type="character" w:customStyle="1" w:styleId="43">
    <w:name w:val="apple-style-span"/>
    <w:basedOn w:val="17"/>
    <w:qFormat/>
    <w:uiPriority w:val="0"/>
  </w:style>
  <w:style w:type="paragraph" w:customStyle="1" w:styleId="44">
    <w:name w:val="大标题"/>
    <w:basedOn w:val="1"/>
    <w:qFormat/>
    <w:uiPriority w:val="99"/>
    <w:pPr>
      <w:widowControl w:val="0"/>
      <w:autoSpaceDE w:val="0"/>
      <w:autoSpaceDN w:val="0"/>
      <w:adjustRightInd w:val="0"/>
      <w:spacing w:line="400" w:lineRule="atLeast"/>
      <w:jc w:val="both"/>
      <w:textAlignment w:val="center"/>
    </w:pPr>
    <w:rPr>
      <w:rFonts w:ascii="方正兰亭中黑_GBK" w:eastAsia="方正兰亭中黑_GBK" w:cs="方正兰亭中黑_GBK"/>
      <w:color w:val="000000"/>
      <w:spacing w:val="-10"/>
      <w:sz w:val="32"/>
      <w:szCs w:val="32"/>
      <w:lang w:val="zh-CN" w:eastAsia="zh-CN"/>
    </w:rPr>
  </w:style>
  <w:style w:type="paragraph" w:customStyle="1" w:styleId="45">
    <w:name w:val="英文标题"/>
    <w:basedOn w:val="1"/>
    <w:qFormat/>
    <w:uiPriority w:val="99"/>
    <w:pPr>
      <w:widowControl w:val="0"/>
      <w:autoSpaceDE w:val="0"/>
      <w:autoSpaceDN w:val="0"/>
      <w:adjustRightInd w:val="0"/>
      <w:spacing w:line="260" w:lineRule="atLeast"/>
      <w:jc w:val="both"/>
      <w:textAlignment w:val="center"/>
    </w:pPr>
    <w:rPr>
      <w:rFonts w:ascii="Times New Roman" w:hAnsi="Times New Roman" w:eastAsia="华文黑体 Light" w:cs="Times New Roman"/>
      <w:color w:val="000000"/>
      <w:spacing w:val="-2"/>
      <w:sz w:val="20"/>
      <w:szCs w:val="20"/>
      <w:lang w:val="zh-CN" w:eastAsia="zh-CN"/>
    </w:rPr>
  </w:style>
  <w:style w:type="paragraph" w:customStyle="1" w:styleId="46">
    <w:name w:val="中文标题"/>
    <w:basedOn w:val="1"/>
    <w:qFormat/>
    <w:uiPriority w:val="99"/>
    <w:pPr>
      <w:widowControl w:val="0"/>
      <w:autoSpaceDE w:val="0"/>
      <w:autoSpaceDN w:val="0"/>
      <w:adjustRightInd w:val="0"/>
      <w:spacing w:line="300" w:lineRule="atLeast"/>
      <w:jc w:val="both"/>
      <w:textAlignment w:val="center"/>
    </w:pPr>
    <w:rPr>
      <w:rFonts w:ascii="方正纤雅宋_GBK" w:eastAsia="方正纤雅宋_GBK" w:cs="方正纤雅宋_GBK"/>
      <w:color w:val="000000"/>
      <w:sz w:val="20"/>
      <w:szCs w:val="20"/>
      <w:lang w:val="zh-CN" w:eastAsia="zh-CN"/>
    </w:rPr>
  </w:style>
  <w:style w:type="paragraph" w:customStyle="1" w:styleId="47">
    <w:name w:val="英文作者"/>
    <w:basedOn w:val="1"/>
    <w:qFormat/>
    <w:uiPriority w:val="99"/>
    <w:pPr>
      <w:widowControl w:val="0"/>
      <w:autoSpaceDE w:val="0"/>
      <w:autoSpaceDN w:val="0"/>
      <w:adjustRightInd w:val="0"/>
      <w:spacing w:line="260" w:lineRule="atLeast"/>
      <w:jc w:val="both"/>
      <w:textAlignment w:val="center"/>
    </w:pPr>
    <w:rPr>
      <w:rFonts w:ascii="Times New Roman" w:hAnsi="Times New Roman" w:cs="Times New Roman"/>
      <w:color w:val="000000"/>
      <w:sz w:val="17"/>
      <w:szCs w:val="17"/>
      <w:lang w:val="zh-CN" w:eastAsia="zh-CN"/>
    </w:rPr>
  </w:style>
  <w:style w:type="character" w:customStyle="1" w:styleId="48">
    <w:name w:val="作者英文"/>
    <w:qFormat/>
    <w:uiPriority w:val="99"/>
    <w:rPr>
      <w:rFonts w:ascii="HelveticaNeueLT Pro 45 Lt" w:hAnsi="HelveticaNeueLT Pro 45 Lt" w:cs="HelveticaNeueLT Pro 45 Lt"/>
      <w:sz w:val="17"/>
      <w:szCs w:val="17"/>
    </w:rPr>
  </w:style>
  <w:style w:type="paragraph" w:customStyle="1" w:styleId="49">
    <w:name w:val="内文"/>
    <w:basedOn w:val="1"/>
    <w:qFormat/>
    <w:uiPriority w:val="99"/>
    <w:pPr>
      <w:widowControl w:val="0"/>
      <w:autoSpaceDE w:val="0"/>
      <w:autoSpaceDN w:val="0"/>
      <w:adjustRightInd w:val="0"/>
      <w:spacing w:line="360" w:lineRule="atLeast"/>
      <w:ind w:firstLine="340"/>
      <w:jc w:val="both"/>
      <w:textAlignment w:val="center"/>
    </w:pPr>
    <w:rPr>
      <w:rFonts w:ascii="方正兰亭纤黑_GBK" w:eastAsia="方正兰亭纤黑_GBK" w:cs="方正兰亭纤黑_GBK"/>
      <w:color w:val="000000"/>
      <w:sz w:val="18"/>
      <w:szCs w:val="18"/>
      <w:lang w:val="zh-CN" w:eastAsia="zh-CN"/>
    </w:rPr>
  </w:style>
  <w:style w:type="paragraph" w:customStyle="1" w:styleId="50">
    <w:name w:val="一级标题"/>
    <w:basedOn w:val="49"/>
    <w:qFormat/>
    <w:uiPriority w:val="99"/>
    <w:pPr>
      <w:ind w:firstLine="0"/>
    </w:pPr>
    <w:rPr>
      <w:rFonts w:ascii="方正兰亭准黑_GBK" w:eastAsia="方正兰亭准黑_GBK" w:cs="方正兰亭准黑_GBK"/>
      <w:sz w:val="20"/>
      <w:szCs w:val="20"/>
    </w:rPr>
  </w:style>
  <w:style w:type="paragraph" w:customStyle="1" w:styleId="51">
    <w:name w:val="二级标题"/>
    <w:basedOn w:val="50"/>
    <w:qFormat/>
    <w:uiPriority w:val="99"/>
    <w:rPr>
      <w:sz w:val="18"/>
      <w:szCs w:val="18"/>
    </w:rPr>
  </w:style>
  <w:style w:type="paragraph" w:customStyle="1" w:styleId="52">
    <w:name w:val="注"/>
    <w:basedOn w:val="49"/>
    <w:qFormat/>
    <w:uiPriority w:val="99"/>
    <w:rPr>
      <w:sz w:val="14"/>
      <w:szCs w:val="14"/>
    </w:rPr>
  </w:style>
  <w:style w:type="paragraph" w:customStyle="1" w:styleId="53">
    <w:name w:val="图注"/>
    <w:basedOn w:val="1"/>
    <w:qFormat/>
    <w:uiPriority w:val="99"/>
    <w:pPr>
      <w:widowControl w:val="0"/>
      <w:autoSpaceDE w:val="0"/>
      <w:autoSpaceDN w:val="0"/>
      <w:adjustRightInd w:val="0"/>
      <w:spacing w:line="180" w:lineRule="atLeast"/>
      <w:jc w:val="both"/>
      <w:textAlignment w:val="center"/>
    </w:pPr>
    <w:rPr>
      <w:rFonts w:ascii="方正兰亭纤黑_GBK" w:eastAsia="方正兰亭纤黑_GBK" w:cs="方正兰亭纤黑_GBK"/>
      <w:color w:val="000000"/>
      <w:sz w:val="13"/>
      <w:szCs w:val="13"/>
      <w:lang w:val="zh-CN" w:eastAsia="zh-CN"/>
    </w:rPr>
  </w:style>
  <w:style w:type="paragraph" w:customStyle="1" w:styleId="54">
    <w:name w:val="参考文献"/>
    <w:basedOn w:val="1"/>
    <w:qFormat/>
    <w:uiPriority w:val="99"/>
    <w:pPr>
      <w:widowControl w:val="0"/>
      <w:autoSpaceDE w:val="0"/>
      <w:autoSpaceDN w:val="0"/>
      <w:adjustRightInd w:val="0"/>
      <w:spacing w:line="220" w:lineRule="atLeast"/>
      <w:ind w:left="510" w:hanging="510"/>
      <w:textAlignment w:val="center"/>
    </w:pPr>
    <w:rPr>
      <w:rFonts w:ascii="方正兰亭纤黑_GBK" w:eastAsia="方正兰亭纤黑_GBK" w:cs="方正兰亭纤黑_GBK"/>
      <w:color w:val="000000"/>
      <w:spacing w:val="-3"/>
      <w:sz w:val="13"/>
      <w:szCs w:val="13"/>
      <w:lang w:val="zh-CN" w:eastAsia="zh-CN"/>
    </w:rPr>
  </w:style>
  <w:style w:type="paragraph" w:customStyle="1" w:styleId="55">
    <w:name w:val="Decimal Aligned"/>
    <w:basedOn w:val="1"/>
    <w:qFormat/>
    <w:uiPriority w:val="40"/>
    <w:pPr>
      <w:tabs>
        <w:tab w:val="decimal" w:pos="360"/>
      </w:tabs>
      <w:spacing w:after="200" w:line="276" w:lineRule="auto"/>
    </w:pPr>
    <w:rPr>
      <w:rFonts w:eastAsiaTheme="minorHAnsi"/>
      <w:sz w:val="22"/>
      <w:szCs w:val="22"/>
      <w:lang w:eastAsia="zh-CN"/>
    </w:rPr>
  </w:style>
  <w:style w:type="character" w:customStyle="1" w:styleId="56">
    <w:name w:val="不明显强调1"/>
    <w:basedOn w:val="17"/>
    <w:qFormat/>
    <w:uiPriority w:val="19"/>
    <w:rPr>
      <w:i/>
      <w:iCs/>
      <w:color w:val="808080" w:themeColor="text1" w:themeTint="80"/>
      <w14:textFill>
        <w14:solidFill>
          <w14:schemeClr w14:val="tx1">
            <w14:lumMod w14:val="50000"/>
            <w14:lumOff w14:val="50000"/>
          </w14:schemeClr>
        </w14:solidFill>
      </w14:textFill>
    </w:rPr>
  </w:style>
  <w:style w:type="paragraph" w:customStyle="1" w:styleId="57">
    <w:name w:val="表文字"/>
    <w:basedOn w:val="1"/>
    <w:qFormat/>
    <w:uiPriority w:val="99"/>
    <w:pPr>
      <w:widowControl w:val="0"/>
      <w:suppressAutoHyphens/>
      <w:autoSpaceDE w:val="0"/>
      <w:autoSpaceDN w:val="0"/>
      <w:adjustRightInd w:val="0"/>
      <w:spacing w:line="240" w:lineRule="atLeast"/>
      <w:textAlignment w:val="center"/>
    </w:pPr>
    <w:rPr>
      <w:rFonts w:ascii="方正中等线_GBK" w:eastAsia="方正中等线_GBK" w:cs="方正中等线_GBK"/>
      <w:color w:val="000000"/>
      <w:sz w:val="14"/>
      <w:szCs w:val="14"/>
      <w:lang w:val="zh-CN" w:eastAsia="zh-CN"/>
    </w:rPr>
  </w:style>
  <w:style w:type="paragraph" w:customStyle="1" w:styleId="58">
    <w:name w:val="[无段落样式]"/>
    <w:qFormat/>
    <w:uiPriority w:val="0"/>
    <w:pPr>
      <w:widowControl w:val="0"/>
      <w:autoSpaceDE w:val="0"/>
      <w:autoSpaceDN w:val="0"/>
      <w:adjustRightInd w:val="0"/>
      <w:spacing w:line="288" w:lineRule="auto"/>
      <w:textAlignment w:val="center"/>
    </w:pPr>
    <w:rPr>
      <w:rFonts w:ascii="Adobe 宋体 Std L" w:eastAsia="Adobe 宋体 Std L" w:cs="Adobe 宋体 Std L" w:hAnsiTheme="minorHAnsi"/>
      <w:color w:val="000000"/>
      <w:sz w:val="24"/>
      <w:szCs w:val="24"/>
      <w:lang w:val="en-US" w:eastAsia="zh-CN" w:bidi="ar-SA"/>
    </w:rPr>
  </w:style>
  <w:style w:type="paragraph" w:customStyle="1" w:styleId="59">
    <w:name w:val="三级标题"/>
    <w:basedOn w:val="49"/>
    <w:qFormat/>
    <w:uiPriority w:val="99"/>
    <w:pPr>
      <w:spacing w:line="320" w:lineRule="atLeast"/>
      <w:ind w:firstLine="0"/>
    </w:pPr>
    <w:rPr>
      <w:sz w:val="17"/>
      <w:szCs w:val="17"/>
    </w:rPr>
  </w:style>
  <w:style w:type="paragraph" w:customStyle="1" w:styleId="60">
    <w:name w:val="中文作者"/>
    <w:basedOn w:val="58"/>
    <w:qFormat/>
    <w:uiPriority w:val="99"/>
    <w:pPr>
      <w:spacing w:line="300" w:lineRule="atLeast"/>
      <w:jc w:val="both"/>
    </w:pPr>
    <w:rPr>
      <w:rFonts w:ascii="方正纤雅宋_GBK" w:eastAsia="方正纤雅宋_GBK" w:cs="方正纤雅宋_GBK"/>
      <w:sz w:val="20"/>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AC12-10C7-4570-89BF-6FD75D6F07D8}">
  <ds:schemaRefs/>
</ds:datastoreItem>
</file>

<file path=docProps/app.xml><?xml version="1.0" encoding="utf-8"?>
<Properties xmlns="http://schemas.openxmlformats.org/officeDocument/2006/extended-properties" xmlns:vt="http://schemas.openxmlformats.org/officeDocument/2006/docPropsVTypes">
  <Template>Normal</Template>
  <Company>Tsinghua University</Company>
  <Pages>5</Pages>
  <Words>1549</Words>
  <Characters>8832</Characters>
  <Lines>73</Lines>
  <Paragraphs>20</Paragraphs>
  <TotalTime>3</TotalTime>
  <ScaleCrop>false</ScaleCrop>
  <LinksUpToDate>false</LinksUpToDate>
  <CharactersWithSpaces>10361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2018-02-06T09:24:00Z</dcterms:created>
  <dc:creator>tongda xu</dc:creator>
  <cp:lastModifiedBy>李旻</cp:lastModifiedBy>
  <cp:lastPrinted>2018-02-04T13:09:00Z</cp:lastPrinted>
  <dcterms:modified xsi:type="dcterms:W3CDTF">2019-09-06T07:55:16Z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